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CE7631" w:rsidRDefault="0046491C" w:rsidP="00E922BD">
      <w:pPr>
        <w:spacing w:after="0" w:line="360" w:lineRule="auto"/>
        <w:jc w:val="both"/>
        <w:rPr>
          <w:rFonts w:ascii="Palatino Linotype" w:hAnsi="Palatino Linotype" w:cs="Arial"/>
          <w:sz w:val="24"/>
          <w:szCs w:val="24"/>
        </w:rPr>
      </w:pPr>
      <w:r w:rsidRPr="00CE7631">
        <w:rPr>
          <w:rFonts w:ascii="Palatino Linotype" w:hAnsi="Palatino Linotype" w:cs="Arial"/>
          <w:b/>
          <w:sz w:val="24"/>
          <w:szCs w:val="24"/>
        </w:rPr>
        <w:t>VOTO PARTICULAR</w:t>
      </w:r>
      <w:r w:rsidR="00476367">
        <w:rPr>
          <w:rFonts w:ascii="Palatino Linotype" w:hAnsi="Palatino Linotype" w:cs="Arial"/>
          <w:b/>
          <w:sz w:val="24"/>
          <w:szCs w:val="24"/>
        </w:rPr>
        <w:t xml:space="preserve"> </w:t>
      </w:r>
      <w:r w:rsidR="00CE5993">
        <w:rPr>
          <w:rFonts w:ascii="Palatino Linotype" w:hAnsi="Palatino Linotype" w:cs="Arial"/>
          <w:b/>
          <w:sz w:val="24"/>
          <w:szCs w:val="24"/>
        </w:rPr>
        <w:t>D</w:t>
      </w:r>
      <w:r w:rsidR="00F6118B">
        <w:rPr>
          <w:rFonts w:ascii="Palatino Linotype" w:hAnsi="Palatino Linotype" w:cs="Arial"/>
          <w:b/>
          <w:sz w:val="24"/>
          <w:szCs w:val="24"/>
        </w:rPr>
        <w:t>EL COMISIONADO</w:t>
      </w:r>
      <w:r w:rsidR="00476367">
        <w:rPr>
          <w:rFonts w:ascii="Palatino Linotype" w:hAnsi="Palatino Linotype" w:cs="Arial"/>
          <w:b/>
          <w:sz w:val="24"/>
          <w:szCs w:val="24"/>
        </w:rPr>
        <w:t xml:space="preserve"> JOSÉ GUADALUPE LUNA HERNÁNDEZ</w:t>
      </w:r>
      <w:r w:rsidR="000D2E94">
        <w:rPr>
          <w:rFonts w:ascii="Palatino Linotype" w:hAnsi="Palatino Linotype" w:cs="Arial"/>
          <w:b/>
          <w:sz w:val="24"/>
          <w:szCs w:val="24"/>
        </w:rPr>
        <w:t xml:space="preserve"> </w:t>
      </w:r>
      <w:r w:rsidR="00476367">
        <w:rPr>
          <w:rFonts w:ascii="Palatino Linotype" w:hAnsi="Palatino Linotype" w:cs="Arial"/>
          <w:b/>
          <w:sz w:val="24"/>
          <w:szCs w:val="24"/>
        </w:rPr>
        <w:t xml:space="preserve">EN EL </w:t>
      </w:r>
      <w:r w:rsidR="00D72985" w:rsidRPr="00CE7631">
        <w:rPr>
          <w:rFonts w:ascii="Palatino Linotype" w:hAnsi="Palatino Linotype" w:cs="Arial"/>
          <w:b/>
          <w:sz w:val="24"/>
          <w:szCs w:val="24"/>
        </w:rPr>
        <w:t>RECURSO</w:t>
      </w:r>
      <w:r w:rsidR="00582793">
        <w:rPr>
          <w:rFonts w:ascii="Palatino Linotype" w:hAnsi="Palatino Linotype" w:cs="Arial"/>
          <w:b/>
          <w:sz w:val="24"/>
          <w:szCs w:val="24"/>
        </w:rPr>
        <w:t xml:space="preserve"> DE REVISIÓN 04190/INFOEM/AD</w:t>
      </w:r>
      <w:r w:rsidR="00E31C26" w:rsidRPr="00CE7631">
        <w:rPr>
          <w:rFonts w:ascii="Palatino Linotype" w:hAnsi="Palatino Linotype" w:cs="Arial"/>
          <w:b/>
          <w:sz w:val="24"/>
          <w:szCs w:val="24"/>
        </w:rPr>
        <w:t>/RR/2018</w:t>
      </w:r>
      <w:r w:rsidR="0000525F" w:rsidRPr="00CE7631">
        <w:rPr>
          <w:rFonts w:ascii="Palatino Linotype" w:hAnsi="Palatino Linotype" w:cs="Arial"/>
          <w:b/>
          <w:sz w:val="24"/>
          <w:szCs w:val="24"/>
        </w:rPr>
        <w:t>.</w:t>
      </w:r>
      <w:bookmarkStart w:id="0" w:name="_GoBack"/>
      <w:bookmarkEnd w:id="0"/>
    </w:p>
    <w:p w:rsidR="00902248" w:rsidRPr="00CE7631" w:rsidRDefault="00902248" w:rsidP="00E922BD">
      <w:pPr>
        <w:spacing w:after="0" w:line="360" w:lineRule="auto"/>
        <w:jc w:val="both"/>
        <w:rPr>
          <w:rFonts w:ascii="Palatino Linotype" w:hAnsi="Palatino Linotype" w:cs="Arial"/>
          <w:sz w:val="24"/>
          <w:szCs w:val="24"/>
        </w:rPr>
      </w:pPr>
    </w:p>
    <w:p w:rsidR="00EC68E3" w:rsidRPr="00CE7631" w:rsidRDefault="00EC68E3" w:rsidP="00E922BD">
      <w:pPr>
        <w:spacing w:after="0" w:line="360" w:lineRule="auto"/>
        <w:jc w:val="both"/>
        <w:rPr>
          <w:rFonts w:ascii="Palatino Linotype" w:hAnsi="Palatino Linotype" w:cs="Arial"/>
          <w:color w:val="000000" w:themeColor="text1"/>
          <w:sz w:val="24"/>
          <w:szCs w:val="24"/>
        </w:rPr>
      </w:pPr>
      <w:r w:rsidRPr="00CE7631">
        <w:rPr>
          <w:rFonts w:ascii="Palatino Linotype" w:hAnsi="Palatino Linotype" w:cs="Arial"/>
          <w:b/>
          <w:color w:val="000000" w:themeColor="text1"/>
          <w:sz w:val="24"/>
          <w:szCs w:val="24"/>
        </w:rPr>
        <w:t>Resumen del voto:</w:t>
      </w:r>
      <w:r w:rsidRPr="00CE7631">
        <w:rPr>
          <w:rFonts w:ascii="Palatino Linotype" w:hAnsi="Palatino Linotype" w:cs="Arial"/>
          <w:color w:val="000000" w:themeColor="text1"/>
          <w:sz w:val="24"/>
          <w:szCs w:val="24"/>
        </w:rPr>
        <w:t xml:space="preserve"> El presente voto particular establece qué como reparación a la afectación provocada al derecho de acceso a </w:t>
      </w:r>
      <w:r w:rsidR="00AA1F20">
        <w:rPr>
          <w:rFonts w:ascii="Palatino Linotype" w:hAnsi="Palatino Linotype" w:cs="Arial"/>
          <w:color w:val="000000" w:themeColor="text1"/>
          <w:sz w:val="24"/>
          <w:szCs w:val="24"/>
        </w:rPr>
        <w:t>datos personales</w:t>
      </w:r>
      <w:r w:rsidRPr="00CE7631">
        <w:rPr>
          <w:rFonts w:ascii="Palatino Linotype" w:hAnsi="Palatino Linotype" w:cs="Arial"/>
          <w:color w:val="000000" w:themeColor="text1"/>
          <w:sz w:val="24"/>
          <w:szCs w:val="24"/>
        </w:rPr>
        <w:t xml:space="preserve"> por la negligencia </w:t>
      </w:r>
      <w:r w:rsidR="00523DD8">
        <w:rPr>
          <w:rFonts w:ascii="Palatino Linotype" w:hAnsi="Palatino Linotype" w:cs="Arial"/>
          <w:color w:val="000000" w:themeColor="text1"/>
          <w:sz w:val="24"/>
          <w:szCs w:val="24"/>
        </w:rPr>
        <w:t xml:space="preserve">en la atención de </w:t>
      </w:r>
      <w:r w:rsidRPr="00CE7631">
        <w:rPr>
          <w:rFonts w:ascii="Palatino Linotype" w:hAnsi="Palatino Linotype" w:cs="Arial"/>
          <w:color w:val="000000" w:themeColor="text1"/>
          <w:sz w:val="24"/>
          <w:szCs w:val="24"/>
        </w:rPr>
        <w:t>las solicitudes de información en lo</w:t>
      </w:r>
      <w:r w:rsidR="00523DD8">
        <w:rPr>
          <w:rFonts w:ascii="Palatino Linotype" w:hAnsi="Palatino Linotype" w:cs="Arial"/>
          <w:color w:val="000000" w:themeColor="text1"/>
          <w:sz w:val="24"/>
          <w:szCs w:val="24"/>
        </w:rPr>
        <w:t>s términos establecidos por la L</w:t>
      </w:r>
      <w:r w:rsidRPr="00CE7631">
        <w:rPr>
          <w:rFonts w:ascii="Palatino Linotype" w:hAnsi="Palatino Linotype" w:cs="Arial"/>
          <w:color w:val="000000" w:themeColor="text1"/>
          <w:sz w:val="24"/>
          <w:szCs w:val="24"/>
        </w:rPr>
        <w:t>ey</w:t>
      </w:r>
      <w:r w:rsidR="00AA1F20">
        <w:rPr>
          <w:rFonts w:ascii="Palatino Linotype" w:hAnsi="Palatino Linotype" w:cs="Arial"/>
          <w:color w:val="000000" w:themeColor="text1"/>
          <w:sz w:val="24"/>
          <w:szCs w:val="24"/>
        </w:rPr>
        <w:t xml:space="preserve"> en materia</w:t>
      </w:r>
      <w:r w:rsidRPr="00CE7631">
        <w:rPr>
          <w:rFonts w:ascii="Palatino Linotype" w:hAnsi="Palatino Linotype" w:cs="Arial"/>
          <w:color w:val="000000" w:themeColor="text1"/>
          <w:sz w:val="24"/>
          <w:szCs w:val="24"/>
        </w:rPr>
        <w:t xml:space="preserve">, en los casos que proceda </w:t>
      </w:r>
      <w:r w:rsidR="00AA1F20">
        <w:rPr>
          <w:rFonts w:ascii="Palatino Linotype" w:hAnsi="Palatino Linotype" w:cs="Arial"/>
          <w:color w:val="000000" w:themeColor="text1"/>
          <w:sz w:val="24"/>
          <w:szCs w:val="24"/>
        </w:rPr>
        <w:t xml:space="preserve">el acceso a la información </w:t>
      </w:r>
      <w:r w:rsidRPr="00CE7631">
        <w:rPr>
          <w:rFonts w:ascii="Palatino Linotype" w:hAnsi="Palatino Linotype" w:cs="Arial"/>
          <w:color w:val="000000" w:themeColor="text1"/>
          <w:sz w:val="24"/>
          <w:szCs w:val="24"/>
        </w:rPr>
        <w:t>y</w:t>
      </w:r>
      <w:r w:rsidR="00AA1F20">
        <w:rPr>
          <w:rFonts w:ascii="Palatino Linotype" w:hAnsi="Palatino Linotype" w:cs="Arial"/>
          <w:color w:val="000000" w:themeColor="text1"/>
          <w:sz w:val="24"/>
          <w:szCs w:val="24"/>
        </w:rPr>
        <w:t>,</w:t>
      </w:r>
      <w:r w:rsidRPr="00CE7631">
        <w:rPr>
          <w:rFonts w:ascii="Palatino Linotype" w:hAnsi="Palatino Linotype" w:cs="Arial"/>
          <w:color w:val="000000" w:themeColor="text1"/>
          <w:sz w:val="24"/>
          <w:szCs w:val="24"/>
        </w:rPr>
        <w:t xml:space="preserve"> ésta genere algún costo, deberá ser </w:t>
      </w:r>
      <w:r w:rsidR="00AA1F20">
        <w:rPr>
          <w:rFonts w:ascii="Palatino Linotype" w:hAnsi="Palatino Linotype" w:cs="Arial"/>
          <w:color w:val="000000" w:themeColor="text1"/>
          <w:sz w:val="24"/>
          <w:szCs w:val="24"/>
        </w:rPr>
        <w:t>cubierto por el Sujeto Obligado.</w:t>
      </w:r>
    </w:p>
    <w:p w:rsidR="00B84DE5" w:rsidRPr="00CE7631" w:rsidRDefault="00CE7631" w:rsidP="00E922BD">
      <w:pPr>
        <w:spacing w:after="0" w:line="360" w:lineRule="auto"/>
        <w:jc w:val="both"/>
        <w:rPr>
          <w:rFonts w:ascii="Palatino Linotype" w:hAnsi="Palatino Linotype" w:cs="Arial"/>
          <w:sz w:val="24"/>
          <w:szCs w:val="24"/>
        </w:rPr>
      </w:pPr>
      <w:r>
        <w:rPr>
          <w:rFonts w:ascii="Palatino Linotype" w:hAnsi="Palatino Linotype" w:cs="Arial"/>
          <w:b/>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-3810</wp:posOffset>
                </wp:positionH>
                <wp:positionV relativeFrom="paragraph">
                  <wp:posOffset>635</wp:posOffset>
                </wp:positionV>
                <wp:extent cx="5543550" cy="46101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543550" cy="4610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69D9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05pt" to="436.2pt,3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" strokecolor="#5b9bd5 [3204]" strokeweight="2.25pt">
                <v:stroke joinstyle="miter"/>
                <w10:wrap anchorx="margin"/>
              </v:line>
            </w:pict>
          </mc:Fallback>
        </mc:AlternateContent>
      </w: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Default="00B84DE5" w:rsidP="00E922BD">
      <w:pPr>
        <w:spacing w:after="0" w:line="360" w:lineRule="auto"/>
        <w:jc w:val="both"/>
        <w:rPr>
          <w:rFonts w:ascii="Palatino Linotype" w:hAnsi="Palatino Linotype" w:cs="Arial"/>
          <w:sz w:val="24"/>
          <w:szCs w:val="24"/>
        </w:rPr>
      </w:pPr>
    </w:p>
    <w:p w:rsidR="00AA1F20" w:rsidRPr="00CE7631" w:rsidRDefault="00AA1F20"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B84DE5" w:rsidRPr="00CE7631" w:rsidRDefault="00B84DE5" w:rsidP="00E922BD">
      <w:pPr>
        <w:spacing w:after="0" w:line="360" w:lineRule="auto"/>
        <w:jc w:val="both"/>
        <w:rPr>
          <w:rFonts w:ascii="Palatino Linotype" w:hAnsi="Palatino Linotype" w:cs="Arial"/>
          <w:sz w:val="24"/>
          <w:szCs w:val="24"/>
        </w:rPr>
      </w:pPr>
    </w:p>
    <w:p w:rsidR="00902248" w:rsidRPr="00CE7631" w:rsidRDefault="00902248" w:rsidP="00E922BD">
      <w:pPr>
        <w:spacing w:after="0" w:line="360" w:lineRule="auto"/>
        <w:jc w:val="both"/>
        <w:rPr>
          <w:rFonts w:ascii="Palatino Linotype" w:hAnsi="Palatino Linotype" w:cs="Arial"/>
          <w:b/>
          <w:sz w:val="24"/>
          <w:szCs w:val="24"/>
        </w:rPr>
      </w:pPr>
    </w:p>
    <w:p w:rsidR="0046491C" w:rsidRPr="00CE7631" w:rsidRDefault="0046491C" w:rsidP="00E922BD">
      <w:pPr>
        <w:spacing w:after="0" w:line="360" w:lineRule="auto"/>
        <w:jc w:val="both"/>
        <w:rPr>
          <w:rFonts w:ascii="Palatino Linotype" w:hAnsi="Palatino Linotype" w:cs="Arial"/>
          <w:sz w:val="24"/>
          <w:szCs w:val="24"/>
        </w:rPr>
      </w:pPr>
      <w:r w:rsidRPr="00CE7631">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CE7631" w:rsidRDefault="0046491C" w:rsidP="000D2E94">
          <w:pPr>
            <w:pStyle w:val="TtulodeTDC"/>
            <w:spacing w:line="360" w:lineRule="auto"/>
            <w:ind w:left="426" w:hanging="426"/>
            <w:rPr>
              <w:rFonts w:ascii="Palatino Linotype" w:hAnsi="Palatino Linotype"/>
              <w:sz w:val="24"/>
              <w:szCs w:val="24"/>
            </w:rPr>
          </w:pPr>
        </w:p>
        <w:p w:rsidR="00AA1F20" w:rsidRDefault="0046491C">
          <w:pPr>
            <w:pStyle w:val="TDC1"/>
            <w:tabs>
              <w:tab w:val="left" w:pos="440"/>
              <w:tab w:val="right" w:leader="dot" w:pos="8828"/>
            </w:tabs>
            <w:rPr>
              <w:rFonts w:eastAsiaTheme="minorEastAsia"/>
              <w:noProof/>
              <w:lang w:eastAsia="es-MX"/>
            </w:rPr>
          </w:pPr>
          <w:r w:rsidRPr="00CE7631">
            <w:rPr>
              <w:rFonts w:ascii="Palatino Linotype" w:hAnsi="Palatino Linotype"/>
              <w:sz w:val="24"/>
              <w:szCs w:val="24"/>
            </w:rPr>
            <w:fldChar w:fldCharType="begin"/>
          </w:r>
          <w:r w:rsidRPr="00CE7631">
            <w:rPr>
              <w:rFonts w:ascii="Palatino Linotype" w:hAnsi="Palatino Linotype"/>
              <w:sz w:val="24"/>
              <w:szCs w:val="24"/>
            </w:rPr>
            <w:instrText xml:space="preserve"> TOC \o "1-3" \h \z \u </w:instrText>
          </w:r>
          <w:r w:rsidRPr="00CE7631">
            <w:rPr>
              <w:rFonts w:ascii="Palatino Linotype" w:hAnsi="Palatino Linotype"/>
              <w:sz w:val="24"/>
              <w:szCs w:val="24"/>
            </w:rPr>
            <w:fldChar w:fldCharType="separate"/>
          </w:r>
          <w:hyperlink w:anchor="_Toc536191456" w:history="1">
            <w:r w:rsidR="00AA1F20" w:rsidRPr="00FE0F36">
              <w:rPr>
                <w:rStyle w:val="Hipervnculo"/>
                <w:rFonts w:ascii="Palatino Linotype" w:hAnsi="Palatino Linotype"/>
                <w:b/>
                <w:noProof/>
              </w:rPr>
              <w:t>I.</w:t>
            </w:r>
            <w:r w:rsidR="00AA1F20">
              <w:rPr>
                <w:rFonts w:eastAsiaTheme="minorEastAsia"/>
                <w:noProof/>
                <w:lang w:eastAsia="es-MX"/>
              </w:rPr>
              <w:tab/>
            </w:r>
            <w:r w:rsidR="00AA1F20" w:rsidRPr="00FE0F36">
              <w:rPr>
                <w:rStyle w:val="Hipervnculo"/>
                <w:rFonts w:ascii="Palatino Linotype" w:hAnsi="Palatino Linotype"/>
                <w:b/>
                <w:noProof/>
              </w:rPr>
              <w:t>Consideraciones Generales.</w:t>
            </w:r>
            <w:r w:rsidR="00AA1F20">
              <w:rPr>
                <w:noProof/>
                <w:webHidden/>
              </w:rPr>
              <w:tab/>
            </w:r>
            <w:r w:rsidR="00AA1F20">
              <w:rPr>
                <w:noProof/>
                <w:webHidden/>
              </w:rPr>
              <w:fldChar w:fldCharType="begin"/>
            </w:r>
            <w:r w:rsidR="00AA1F20">
              <w:rPr>
                <w:noProof/>
                <w:webHidden/>
              </w:rPr>
              <w:instrText xml:space="preserve"> PAGEREF _Toc536191456 \h </w:instrText>
            </w:r>
            <w:r w:rsidR="00AA1F20">
              <w:rPr>
                <w:noProof/>
                <w:webHidden/>
              </w:rPr>
            </w:r>
            <w:r w:rsidR="00AA1F20">
              <w:rPr>
                <w:noProof/>
                <w:webHidden/>
              </w:rPr>
              <w:fldChar w:fldCharType="separate"/>
            </w:r>
            <w:r w:rsidR="00AA1F20">
              <w:rPr>
                <w:noProof/>
                <w:webHidden/>
              </w:rPr>
              <w:t>2</w:t>
            </w:r>
            <w:r w:rsidR="00AA1F20">
              <w:rPr>
                <w:noProof/>
                <w:webHidden/>
              </w:rPr>
              <w:fldChar w:fldCharType="end"/>
            </w:r>
          </w:hyperlink>
        </w:p>
        <w:p w:rsidR="00AA1F20" w:rsidRDefault="00AA1F20">
          <w:pPr>
            <w:pStyle w:val="TDC1"/>
            <w:tabs>
              <w:tab w:val="left" w:pos="660"/>
              <w:tab w:val="right" w:leader="dot" w:pos="8828"/>
            </w:tabs>
            <w:rPr>
              <w:rFonts w:eastAsiaTheme="minorEastAsia"/>
              <w:noProof/>
              <w:lang w:eastAsia="es-MX"/>
            </w:rPr>
          </w:pPr>
          <w:hyperlink w:anchor="_Toc536191457" w:history="1">
            <w:r w:rsidRPr="00FE0F36">
              <w:rPr>
                <w:rStyle w:val="Hipervnculo"/>
                <w:rFonts w:ascii="Palatino Linotype" w:hAnsi="Palatino Linotype"/>
                <w:b/>
                <w:noProof/>
              </w:rPr>
              <w:t>II.</w:t>
            </w:r>
            <w:r>
              <w:rPr>
                <w:rFonts w:eastAsiaTheme="minorEastAsia"/>
                <w:noProof/>
                <w:lang w:eastAsia="es-MX"/>
              </w:rPr>
              <w:tab/>
            </w:r>
            <w:r w:rsidRPr="00FE0F36">
              <w:rPr>
                <w:rStyle w:val="Hipervnculo"/>
                <w:rFonts w:ascii="Palatino Linotype" w:hAnsi="Palatino Linotype"/>
                <w:b/>
                <w:noProof/>
              </w:rPr>
              <w:t>De los requerimientos planteados en el recurso de revisión.</w:t>
            </w:r>
            <w:r>
              <w:rPr>
                <w:noProof/>
                <w:webHidden/>
              </w:rPr>
              <w:tab/>
            </w:r>
            <w:r>
              <w:rPr>
                <w:noProof/>
                <w:webHidden/>
              </w:rPr>
              <w:fldChar w:fldCharType="begin"/>
            </w:r>
            <w:r>
              <w:rPr>
                <w:noProof/>
                <w:webHidden/>
              </w:rPr>
              <w:instrText xml:space="preserve"> PAGEREF _Toc536191457 \h </w:instrText>
            </w:r>
            <w:r>
              <w:rPr>
                <w:noProof/>
                <w:webHidden/>
              </w:rPr>
            </w:r>
            <w:r>
              <w:rPr>
                <w:noProof/>
                <w:webHidden/>
              </w:rPr>
              <w:fldChar w:fldCharType="separate"/>
            </w:r>
            <w:r>
              <w:rPr>
                <w:noProof/>
                <w:webHidden/>
              </w:rPr>
              <w:t>3</w:t>
            </w:r>
            <w:r>
              <w:rPr>
                <w:noProof/>
                <w:webHidden/>
              </w:rPr>
              <w:fldChar w:fldCharType="end"/>
            </w:r>
          </w:hyperlink>
        </w:p>
        <w:p w:rsidR="00AA1F20" w:rsidRDefault="00AA1F20">
          <w:pPr>
            <w:pStyle w:val="TDC2"/>
            <w:tabs>
              <w:tab w:val="left" w:pos="880"/>
              <w:tab w:val="right" w:leader="dot" w:pos="8828"/>
            </w:tabs>
            <w:rPr>
              <w:rFonts w:eastAsiaTheme="minorEastAsia"/>
              <w:noProof/>
              <w:lang w:eastAsia="es-MX"/>
            </w:rPr>
          </w:pPr>
          <w:hyperlink w:anchor="_Toc536191458" w:history="1">
            <w:r w:rsidRPr="00FE0F36">
              <w:rPr>
                <w:rStyle w:val="Hipervnculo"/>
                <w:rFonts w:ascii="Palatino Linotype" w:eastAsiaTheme="majorEastAsia" w:hAnsi="Palatino Linotype" w:cs="Arial"/>
                <w:b/>
                <w:iCs/>
                <w:noProof/>
              </w:rPr>
              <w:t>III.</w:t>
            </w:r>
            <w:r>
              <w:rPr>
                <w:rFonts w:eastAsiaTheme="minorEastAsia"/>
                <w:noProof/>
                <w:lang w:eastAsia="es-MX"/>
              </w:rPr>
              <w:tab/>
            </w:r>
            <w:r w:rsidRPr="00FE0F36">
              <w:rPr>
                <w:rStyle w:val="Hipervnculo"/>
                <w:rFonts w:ascii="Palatino Linotype" w:eastAsiaTheme="majorEastAsia" w:hAnsi="Palatino Linotype" w:cs="Arial"/>
                <w:b/>
                <w:iCs/>
                <w:noProof/>
              </w:rPr>
              <w:t>El derecho de acceso a datos personales.</w:t>
            </w:r>
            <w:r>
              <w:rPr>
                <w:noProof/>
                <w:webHidden/>
              </w:rPr>
              <w:tab/>
            </w:r>
            <w:r>
              <w:rPr>
                <w:noProof/>
                <w:webHidden/>
              </w:rPr>
              <w:fldChar w:fldCharType="begin"/>
            </w:r>
            <w:r>
              <w:rPr>
                <w:noProof/>
                <w:webHidden/>
              </w:rPr>
              <w:instrText xml:space="preserve"> PAGEREF _Toc536191458 \h </w:instrText>
            </w:r>
            <w:r>
              <w:rPr>
                <w:noProof/>
                <w:webHidden/>
              </w:rPr>
            </w:r>
            <w:r>
              <w:rPr>
                <w:noProof/>
                <w:webHidden/>
              </w:rPr>
              <w:fldChar w:fldCharType="separate"/>
            </w:r>
            <w:r>
              <w:rPr>
                <w:noProof/>
                <w:webHidden/>
              </w:rPr>
              <w:t>4</w:t>
            </w:r>
            <w:r>
              <w:rPr>
                <w:noProof/>
                <w:webHidden/>
              </w:rPr>
              <w:fldChar w:fldCharType="end"/>
            </w:r>
          </w:hyperlink>
        </w:p>
        <w:p w:rsidR="00AA1F20" w:rsidRDefault="00AA1F20">
          <w:pPr>
            <w:pStyle w:val="TDC2"/>
            <w:tabs>
              <w:tab w:val="left" w:pos="880"/>
              <w:tab w:val="right" w:leader="dot" w:pos="8828"/>
            </w:tabs>
            <w:rPr>
              <w:rFonts w:eastAsiaTheme="minorEastAsia"/>
              <w:noProof/>
              <w:lang w:eastAsia="es-MX"/>
            </w:rPr>
          </w:pPr>
          <w:hyperlink w:anchor="_Toc536191459" w:history="1">
            <w:r w:rsidRPr="00FE0F36">
              <w:rPr>
                <w:rStyle w:val="Hipervnculo"/>
                <w:rFonts w:ascii="Palatino Linotype" w:eastAsiaTheme="majorEastAsia" w:hAnsi="Palatino Linotype" w:cs="Arial"/>
                <w:b/>
                <w:iCs/>
                <w:noProof/>
              </w:rPr>
              <w:t>IV.</w:t>
            </w:r>
            <w:r>
              <w:rPr>
                <w:rFonts w:eastAsiaTheme="minorEastAsia"/>
                <w:noProof/>
                <w:lang w:eastAsia="es-MX"/>
              </w:rPr>
              <w:tab/>
            </w:r>
            <w:r w:rsidRPr="00FE0F36">
              <w:rPr>
                <w:rStyle w:val="Hipervnculo"/>
                <w:rFonts w:ascii="Palatino Linotype" w:eastAsiaTheme="majorEastAsia" w:hAnsi="Palatino Linotype" w:cs="Arial"/>
                <w:b/>
                <w:iCs/>
                <w:noProof/>
              </w:rPr>
              <w:t>Las garantías primarias del derecho de acceso a la información pública.</w:t>
            </w:r>
            <w:r>
              <w:rPr>
                <w:noProof/>
                <w:webHidden/>
              </w:rPr>
              <w:tab/>
            </w:r>
            <w:r>
              <w:rPr>
                <w:noProof/>
                <w:webHidden/>
              </w:rPr>
              <w:fldChar w:fldCharType="begin"/>
            </w:r>
            <w:r>
              <w:rPr>
                <w:noProof/>
                <w:webHidden/>
              </w:rPr>
              <w:instrText xml:space="preserve"> PAGEREF _Toc536191459 \h </w:instrText>
            </w:r>
            <w:r>
              <w:rPr>
                <w:noProof/>
                <w:webHidden/>
              </w:rPr>
            </w:r>
            <w:r>
              <w:rPr>
                <w:noProof/>
                <w:webHidden/>
              </w:rPr>
              <w:fldChar w:fldCharType="separate"/>
            </w:r>
            <w:r>
              <w:rPr>
                <w:noProof/>
                <w:webHidden/>
              </w:rPr>
              <w:t>5</w:t>
            </w:r>
            <w:r>
              <w:rPr>
                <w:noProof/>
                <w:webHidden/>
              </w:rPr>
              <w:fldChar w:fldCharType="end"/>
            </w:r>
          </w:hyperlink>
        </w:p>
        <w:p w:rsidR="00AA1F20" w:rsidRDefault="00AA1F20">
          <w:pPr>
            <w:pStyle w:val="TDC2"/>
            <w:tabs>
              <w:tab w:val="left" w:pos="880"/>
              <w:tab w:val="right" w:leader="dot" w:pos="8828"/>
            </w:tabs>
            <w:rPr>
              <w:rFonts w:eastAsiaTheme="minorEastAsia"/>
              <w:noProof/>
              <w:lang w:eastAsia="es-MX"/>
            </w:rPr>
          </w:pPr>
          <w:hyperlink w:anchor="_Toc536191460" w:history="1">
            <w:r w:rsidRPr="00FE0F36">
              <w:rPr>
                <w:rStyle w:val="Hipervnculo"/>
                <w:rFonts w:ascii="Palatino Linotype" w:eastAsiaTheme="majorEastAsia" w:hAnsi="Palatino Linotype" w:cs="Arial"/>
                <w:b/>
                <w:iCs/>
                <w:noProof/>
              </w:rPr>
              <w:t>V.</w:t>
            </w:r>
            <w:r>
              <w:rPr>
                <w:rFonts w:eastAsiaTheme="minorEastAsia"/>
                <w:noProof/>
                <w:lang w:eastAsia="es-MX"/>
              </w:rPr>
              <w:tab/>
            </w:r>
            <w:r w:rsidRPr="00FE0F36">
              <w:rPr>
                <w:rStyle w:val="Hipervnculo"/>
                <w:rFonts w:ascii="Palatino Linotype" w:eastAsiaTheme="majorEastAsia" w:hAnsi="Palatino Linotype" w:cs="Arial"/>
                <w:b/>
                <w:iCs/>
                <w:noProof/>
              </w:rPr>
              <w:t>La garantía secundaria del derecho de acceso a la información pública.</w:t>
            </w:r>
            <w:r>
              <w:rPr>
                <w:noProof/>
                <w:webHidden/>
              </w:rPr>
              <w:tab/>
            </w:r>
            <w:r>
              <w:rPr>
                <w:noProof/>
                <w:webHidden/>
              </w:rPr>
              <w:fldChar w:fldCharType="begin"/>
            </w:r>
            <w:r>
              <w:rPr>
                <w:noProof/>
                <w:webHidden/>
              </w:rPr>
              <w:instrText xml:space="preserve"> PAGEREF _Toc536191460 \h </w:instrText>
            </w:r>
            <w:r>
              <w:rPr>
                <w:noProof/>
                <w:webHidden/>
              </w:rPr>
            </w:r>
            <w:r>
              <w:rPr>
                <w:noProof/>
                <w:webHidden/>
              </w:rPr>
              <w:fldChar w:fldCharType="separate"/>
            </w:r>
            <w:r>
              <w:rPr>
                <w:noProof/>
                <w:webHidden/>
              </w:rPr>
              <w:t>8</w:t>
            </w:r>
            <w:r>
              <w:rPr>
                <w:noProof/>
                <w:webHidden/>
              </w:rPr>
              <w:fldChar w:fldCharType="end"/>
            </w:r>
          </w:hyperlink>
        </w:p>
        <w:p w:rsidR="00AA1F20" w:rsidRDefault="00AA1F20">
          <w:pPr>
            <w:pStyle w:val="TDC2"/>
            <w:tabs>
              <w:tab w:val="left" w:pos="880"/>
              <w:tab w:val="right" w:leader="dot" w:pos="8828"/>
            </w:tabs>
            <w:rPr>
              <w:rFonts w:eastAsiaTheme="minorEastAsia"/>
              <w:noProof/>
              <w:lang w:eastAsia="es-MX"/>
            </w:rPr>
          </w:pPr>
          <w:hyperlink w:anchor="_Toc536191461" w:history="1">
            <w:r w:rsidRPr="00FE0F36">
              <w:rPr>
                <w:rStyle w:val="Hipervnculo"/>
                <w:rFonts w:ascii="Palatino Linotype" w:eastAsiaTheme="majorEastAsia" w:hAnsi="Palatino Linotype" w:cs="Arial"/>
                <w:b/>
                <w:iCs/>
                <w:noProof/>
              </w:rPr>
              <w:t>VI.</w:t>
            </w:r>
            <w:r>
              <w:rPr>
                <w:rFonts w:eastAsiaTheme="minorEastAsia"/>
                <w:noProof/>
                <w:lang w:eastAsia="es-MX"/>
              </w:rPr>
              <w:tab/>
            </w:r>
            <w:r w:rsidRPr="00FE0F36">
              <w:rPr>
                <w:rStyle w:val="Hipervnculo"/>
                <w:rFonts w:ascii="Palatino Linotype" w:eastAsiaTheme="majorEastAsia" w:hAnsi="Palatino Linotype" w:cs="Arial"/>
                <w:b/>
                <w:iCs/>
                <w:noProof/>
              </w:rPr>
              <w:t>Consecuencias de la violación al derecho humano.</w:t>
            </w:r>
            <w:r>
              <w:rPr>
                <w:noProof/>
                <w:webHidden/>
              </w:rPr>
              <w:tab/>
            </w:r>
            <w:r>
              <w:rPr>
                <w:noProof/>
                <w:webHidden/>
              </w:rPr>
              <w:fldChar w:fldCharType="begin"/>
            </w:r>
            <w:r>
              <w:rPr>
                <w:noProof/>
                <w:webHidden/>
              </w:rPr>
              <w:instrText xml:space="preserve"> PAGEREF _Toc536191461 \h </w:instrText>
            </w:r>
            <w:r>
              <w:rPr>
                <w:noProof/>
                <w:webHidden/>
              </w:rPr>
            </w:r>
            <w:r>
              <w:rPr>
                <w:noProof/>
                <w:webHidden/>
              </w:rPr>
              <w:fldChar w:fldCharType="separate"/>
            </w:r>
            <w:r>
              <w:rPr>
                <w:noProof/>
                <w:webHidden/>
              </w:rPr>
              <w:t>10</w:t>
            </w:r>
            <w:r>
              <w:rPr>
                <w:noProof/>
                <w:webHidden/>
              </w:rPr>
              <w:fldChar w:fldCharType="end"/>
            </w:r>
          </w:hyperlink>
        </w:p>
        <w:p w:rsidR="00AA1F20" w:rsidRDefault="00AA1F20">
          <w:pPr>
            <w:pStyle w:val="TDC2"/>
            <w:tabs>
              <w:tab w:val="left" w:pos="880"/>
              <w:tab w:val="right" w:leader="dot" w:pos="8828"/>
            </w:tabs>
            <w:rPr>
              <w:rFonts w:eastAsiaTheme="minorEastAsia"/>
              <w:noProof/>
              <w:lang w:eastAsia="es-MX"/>
            </w:rPr>
          </w:pPr>
          <w:hyperlink w:anchor="_Toc536191462" w:history="1">
            <w:r w:rsidRPr="00FE0F36">
              <w:rPr>
                <w:rStyle w:val="Hipervnculo"/>
                <w:rFonts w:ascii="Palatino Linotype" w:eastAsiaTheme="majorEastAsia" w:hAnsi="Palatino Linotype" w:cs="Arial"/>
                <w:b/>
                <w:iCs/>
                <w:noProof/>
              </w:rPr>
              <w:t>VII.</w:t>
            </w:r>
            <w:r>
              <w:rPr>
                <w:rFonts w:eastAsiaTheme="minorEastAsia"/>
                <w:noProof/>
                <w:lang w:eastAsia="es-MX"/>
              </w:rPr>
              <w:tab/>
            </w:r>
            <w:r w:rsidRPr="00FE0F36">
              <w:rPr>
                <w:rStyle w:val="Hipervnculo"/>
                <w:rFonts w:ascii="Palatino Linotype" w:eastAsiaTheme="majorEastAsia" w:hAnsi="Palatino Linotype" w:cs="Arial"/>
                <w:b/>
                <w:iCs/>
                <w:noProof/>
              </w:rPr>
              <w:t>Conclusiones.</w:t>
            </w:r>
            <w:r>
              <w:rPr>
                <w:noProof/>
                <w:webHidden/>
              </w:rPr>
              <w:tab/>
            </w:r>
            <w:r>
              <w:rPr>
                <w:noProof/>
                <w:webHidden/>
              </w:rPr>
              <w:fldChar w:fldCharType="begin"/>
            </w:r>
            <w:r>
              <w:rPr>
                <w:noProof/>
                <w:webHidden/>
              </w:rPr>
              <w:instrText xml:space="preserve"> PAGEREF _Toc536191462 \h </w:instrText>
            </w:r>
            <w:r>
              <w:rPr>
                <w:noProof/>
                <w:webHidden/>
              </w:rPr>
            </w:r>
            <w:r>
              <w:rPr>
                <w:noProof/>
                <w:webHidden/>
              </w:rPr>
              <w:fldChar w:fldCharType="separate"/>
            </w:r>
            <w:r>
              <w:rPr>
                <w:noProof/>
                <w:webHidden/>
              </w:rPr>
              <w:t>14</w:t>
            </w:r>
            <w:r>
              <w:rPr>
                <w:noProof/>
                <w:webHidden/>
              </w:rPr>
              <w:fldChar w:fldCharType="end"/>
            </w:r>
          </w:hyperlink>
        </w:p>
        <w:p w:rsidR="00AA1F20" w:rsidRPr="00AA1F20" w:rsidRDefault="0046491C" w:rsidP="00AA1F20">
          <w:pPr>
            <w:spacing w:line="360" w:lineRule="auto"/>
            <w:ind w:left="426" w:hanging="426"/>
            <w:rPr>
              <w:rFonts w:ascii="Palatino Linotype" w:hAnsi="Palatino Linotype"/>
              <w:sz w:val="24"/>
              <w:szCs w:val="24"/>
            </w:rPr>
          </w:pPr>
          <w:r w:rsidRPr="00CE7631">
            <w:rPr>
              <w:rFonts w:ascii="Palatino Linotype" w:hAnsi="Palatino Linotype"/>
              <w:b/>
              <w:bCs/>
              <w:sz w:val="24"/>
              <w:szCs w:val="24"/>
              <w:lang w:val="es-ES"/>
            </w:rPr>
            <w:fldChar w:fldCharType="end"/>
          </w:r>
        </w:p>
      </w:sdtContent>
    </w:sdt>
    <w:bookmarkStart w:id="1" w:name="_Toc536191456" w:displacedByCustomXml="prev"/>
    <w:p w:rsidR="00AA1F20" w:rsidRDefault="00AA1F20" w:rsidP="00AA1F20">
      <w:pPr>
        <w:pStyle w:val="Ttulo1"/>
        <w:spacing w:line="360" w:lineRule="auto"/>
        <w:rPr>
          <w:rFonts w:ascii="Palatino Linotype" w:hAnsi="Palatino Linotype"/>
          <w:b/>
          <w:color w:val="auto"/>
          <w:sz w:val="24"/>
          <w:szCs w:val="24"/>
        </w:rPr>
      </w:pPr>
    </w:p>
    <w:p w:rsidR="00AA1F20" w:rsidRDefault="00AA1F20" w:rsidP="00AA1F20">
      <w:pPr>
        <w:pStyle w:val="Ttulo1"/>
        <w:spacing w:line="360" w:lineRule="auto"/>
        <w:rPr>
          <w:rFonts w:ascii="Palatino Linotype" w:hAnsi="Palatino Linotype"/>
          <w:b/>
          <w:color w:val="auto"/>
          <w:sz w:val="24"/>
          <w:szCs w:val="24"/>
        </w:rPr>
      </w:pPr>
    </w:p>
    <w:p w:rsidR="00F154C8" w:rsidRDefault="0046491C" w:rsidP="00F154C8">
      <w:pPr>
        <w:pStyle w:val="Ttulo1"/>
        <w:numPr>
          <w:ilvl w:val="0"/>
          <w:numId w:val="12"/>
        </w:numPr>
        <w:spacing w:line="360" w:lineRule="auto"/>
        <w:ind w:left="0" w:firstLine="0"/>
        <w:rPr>
          <w:rFonts w:ascii="Palatino Linotype" w:hAnsi="Palatino Linotype"/>
          <w:b/>
          <w:color w:val="auto"/>
          <w:sz w:val="24"/>
          <w:szCs w:val="24"/>
        </w:rPr>
      </w:pPr>
      <w:r w:rsidRPr="00CE7631">
        <w:rPr>
          <w:rFonts w:ascii="Palatino Linotype" w:hAnsi="Palatino Linotype"/>
          <w:b/>
          <w:color w:val="auto"/>
          <w:sz w:val="24"/>
          <w:szCs w:val="24"/>
        </w:rPr>
        <w:t>Consideraciones Generales.</w:t>
      </w:r>
      <w:bookmarkEnd w:id="1"/>
    </w:p>
    <w:p w:rsidR="00F154C8" w:rsidRPr="00F154C8" w:rsidRDefault="00F154C8" w:rsidP="00F154C8"/>
    <w:p w:rsidR="001A103E" w:rsidRPr="00CE7631" w:rsidRDefault="0046491C" w:rsidP="00E922BD">
      <w:pPr>
        <w:pStyle w:val="Prrafodelista"/>
        <w:numPr>
          <w:ilvl w:val="0"/>
          <w:numId w:val="1"/>
        </w:numPr>
        <w:spacing w:after="0" w:line="360" w:lineRule="auto"/>
        <w:ind w:left="0" w:firstLine="0"/>
        <w:jc w:val="both"/>
        <w:rPr>
          <w:rFonts w:ascii="Palatino Linotype" w:hAnsi="Palatino Linotype" w:cs="Arial"/>
          <w:sz w:val="24"/>
          <w:szCs w:val="24"/>
        </w:rPr>
      </w:pPr>
      <w:r w:rsidRPr="00CE7631">
        <w:rPr>
          <w:rFonts w:ascii="Palatino Linotype" w:eastAsia="Times New Roman" w:hAnsi="Palatino Linotype" w:cs="Arial"/>
          <w:sz w:val="24"/>
          <w:szCs w:val="24"/>
          <w:lang w:val="es-ES_tradnl"/>
        </w:rPr>
        <w:t>He</w:t>
      </w:r>
      <w:r w:rsidR="00476367">
        <w:rPr>
          <w:rFonts w:ascii="Palatino Linotype" w:eastAsia="Times New Roman" w:hAnsi="Palatino Linotype" w:cs="Arial"/>
          <w:sz w:val="24"/>
          <w:szCs w:val="24"/>
          <w:lang w:val="es-ES_tradnl"/>
        </w:rPr>
        <w:t xml:space="preserve"> concurrido con </w:t>
      </w:r>
      <w:r w:rsidR="00AA1F20">
        <w:rPr>
          <w:rFonts w:ascii="Palatino Linotype" w:eastAsia="Times New Roman" w:hAnsi="Palatino Linotype" w:cs="Arial"/>
          <w:sz w:val="24"/>
          <w:szCs w:val="24"/>
          <w:lang w:val="es-ES_tradnl"/>
        </w:rPr>
        <w:t>mi voto</w:t>
      </w:r>
      <w:r w:rsidRPr="00CE7631">
        <w:rPr>
          <w:rFonts w:ascii="Palatino Linotype" w:eastAsia="Times New Roman" w:hAnsi="Palatino Linotype" w:cs="Arial"/>
          <w:sz w:val="24"/>
          <w:szCs w:val="24"/>
          <w:lang w:val="es-ES_tradnl"/>
        </w:rPr>
        <w:t xml:space="preserve"> particular de la presente resolución emitida </w:t>
      </w:r>
      <w:r w:rsidRPr="00CE7631">
        <w:rPr>
          <w:rFonts w:ascii="Palatino Linotype" w:hAnsi="Palatino Linotype" w:cs="Arial"/>
          <w:sz w:val="24"/>
          <w:szCs w:val="24"/>
        </w:rPr>
        <w:t>por el Pleno del Instituto de Transparencia, Acceso a la Información Pública y Protección de Datos Personales del Estado de Méxi</w:t>
      </w:r>
      <w:r w:rsidR="00283063" w:rsidRPr="00CE7631">
        <w:rPr>
          <w:rFonts w:ascii="Palatino Linotype" w:hAnsi="Palatino Linotype" w:cs="Arial"/>
          <w:sz w:val="24"/>
          <w:szCs w:val="24"/>
        </w:rPr>
        <w:t xml:space="preserve">co y Municipios, en su </w:t>
      </w:r>
      <w:r w:rsidR="00582793">
        <w:rPr>
          <w:rFonts w:ascii="Palatino Linotype" w:hAnsi="Palatino Linotype" w:cs="Arial"/>
          <w:sz w:val="24"/>
          <w:szCs w:val="24"/>
        </w:rPr>
        <w:t>Tercera</w:t>
      </w:r>
      <w:r w:rsidR="00283063" w:rsidRPr="00CE7631">
        <w:rPr>
          <w:rFonts w:ascii="Palatino Linotype" w:hAnsi="Palatino Linotype" w:cs="Arial"/>
          <w:sz w:val="24"/>
          <w:szCs w:val="24"/>
        </w:rPr>
        <w:t xml:space="preserve"> Ses</w:t>
      </w:r>
      <w:r w:rsidR="00582793">
        <w:rPr>
          <w:rFonts w:ascii="Palatino Linotype" w:hAnsi="Palatino Linotype" w:cs="Arial"/>
          <w:sz w:val="24"/>
          <w:szCs w:val="24"/>
        </w:rPr>
        <w:t>ión Ordinaria de fecha veintitrés</w:t>
      </w:r>
      <w:r w:rsidRPr="00CE7631">
        <w:rPr>
          <w:rFonts w:ascii="Palatino Linotype" w:hAnsi="Palatino Linotype" w:cs="Arial"/>
          <w:sz w:val="24"/>
          <w:szCs w:val="24"/>
        </w:rPr>
        <w:t xml:space="preserve"> (</w:t>
      </w:r>
      <w:r w:rsidR="00582793">
        <w:rPr>
          <w:rFonts w:ascii="Palatino Linotype" w:hAnsi="Palatino Linotype" w:cs="Arial"/>
          <w:sz w:val="24"/>
          <w:szCs w:val="24"/>
        </w:rPr>
        <w:t>23</w:t>
      </w:r>
      <w:r w:rsidR="00CE7631">
        <w:rPr>
          <w:rFonts w:ascii="Palatino Linotype" w:hAnsi="Palatino Linotype" w:cs="Arial"/>
          <w:sz w:val="24"/>
          <w:szCs w:val="24"/>
        </w:rPr>
        <w:t>) de enero de dos mil diecinueve</w:t>
      </w:r>
      <w:r w:rsidRPr="00CE7631">
        <w:rPr>
          <w:rFonts w:ascii="Palatino Linotype" w:hAnsi="Palatino Linotype" w:cs="Arial"/>
          <w:sz w:val="24"/>
          <w:szCs w:val="24"/>
        </w:rPr>
        <w:t>, en el recurso</w:t>
      </w:r>
      <w:r w:rsidR="002C1F75" w:rsidRPr="00CE7631">
        <w:rPr>
          <w:rFonts w:ascii="Palatino Linotype" w:hAnsi="Palatino Linotype" w:cs="Arial"/>
          <w:sz w:val="24"/>
          <w:szCs w:val="24"/>
        </w:rPr>
        <w:t xml:space="preserve"> de revisión promovido</w:t>
      </w:r>
      <w:r w:rsidR="00582793">
        <w:rPr>
          <w:rFonts w:ascii="Palatino Linotype" w:hAnsi="Palatino Linotype" w:cs="Arial"/>
          <w:sz w:val="24"/>
          <w:szCs w:val="24"/>
        </w:rPr>
        <w:t xml:space="preserve"> </w:t>
      </w:r>
      <w:r w:rsidRPr="00CE7631">
        <w:rPr>
          <w:rFonts w:ascii="Palatino Linotype" w:hAnsi="Palatino Linotype" w:cs="Arial"/>
          <w:sz w:val="24"/>
          <w:szCs w:val="24"/>
        </w:rPr>
        <w:t xml:space="preserve">en contra de la respuesta del </w:t>
      </w:r>
      <w:r w:rsidR="00582793">
        <w:rPr>
          <w:rFonts w:ascii="Palatino Linotype" w:eastAsia="Calibri" w:hAnsi="Palatino Linotype" w:cs="Times New Roman"/>
          <w:b/>
          <w:sz w:val="24"/>
          <w:szCs w:val="24"/>
          <w:lang w:val="es-ES" w:eastAsia="es-ES"/>
        </w:rPr>
        <w:t>Sistema para el Desarrollo Integral de la Familia del Estado de México</w:t>
      </w:r>
      <w:r w:rsidRPr="00CE7631">
        <w:rPr>
          <w:rFonts w:ascii="Palatino Linotype" w:hAnsi="Palatino Linotype" w:cs="Arial"/>
          <w:sz w:val="24"/>
          <w:szCs w:val="24"/>
        </w:rPr>
        <w:t>, procedimiento a</w:t>
      </w:r>
      <w:r w:rsidR="0000525F" w:rsidRPr="00CE7631">
        <w:rPr>
          <w:rFonts w:ascii="Palatino Linotype" w:hAnsi="Palatino Linotype" w:cs="Arial"/>
          <w:sz w:val="24"/>
          <w:szCs w:val="24"/>
        </w:rPr>
        <w:t>l</w:t>
      </w:r>
      <w:r w:rsidR="00902248" w:rsidRPr="00CE7631">
        <w:rPr>
          <w:rFonts w:ascii="Palatino Linotype" w:hAnsi="Palatino Linotype" w:cs="Arial"/>
          <w:sz w:val="24"/>
          <w:szCs w:val="24"/>
        </w:rPr>
        <w:t xml:space="preserve"> que se le asignó </w:t>
      </w:r>
      <w:r w:rsidR="0000525F" w:rsidRPr="00CE7631">
        <w:rPr>
          <w:rFonts w:ascii="Palatino Linotype" w:hAnsi="Palatino Linotype" w:cs="Arial"/>
          <w:sz w:val="24"/>
          <w:szCs w:val="24"/>
        </w:rPr>
        <w:t>el</w:t>
      </w:r>
      <w:r w:rsidRPr="00CE7631">
        <w:rPr>
          <w:rFonts w:ascii="Palatino Linotype" w:hAnsi="Palatino Linotype" w:cs="Arial"/>
          <w:sz w:val="24"/>
          <w:szCs w:val="24"/>
        </w:rPr>
        <w:t xml:space="preserve"> número de expediente </w:t>
      </w:r>
      <w:r w:rsidR="00283063" w:rsidRPr="00CE7631">
        <w:rPr>
          <w:rFonts w:ascii="Palatino Linotype" w:eastAsia="Times New Roman" w:hAnsi="Palatino Linotype" w:cs="Arial"/>
          <w:bCs/>
          <w:sz w:val="24"/>
          <w:szCs w:val="24"/>
          <w:lang w:eastAsia="es-ES"/>
        </w:rPr>
        <w:t xml:space="preserve">señalado anteriormente. </w:t>
      </w:r>
    </w:p>
    <w:p w:rsidR="00E71F88" w:rsidRPr="00CE7631" w:rsidRDefault="00E71F88" w:rsidP="00E922BD">
      <w:pPr>
        <w:pStyle w:val="Prrafodelista"/>
        <w:spacing w:after="0" w:line="360" w:lineRule="auto"/>
        <w:ind w:left="426"/>
        <w:jc w:val="both"/>
        <w:rPr>
          <w:rFonts w:ascii="Palatino Linotype" w:hAnsi="Palatino Linotype" w:cs="Arial"/>
          <w:sz w:val="24"/>
          <w:szCs w:val="24"/>
        </w:rPr>
      </w:pPr>
    </w:p>
    <w:p w:rsidR="00D33AF9" w:rsidRPr="00CE7631" w:rsidRDefault="0046491C" w:rsidP="00E922BD">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CE7631">
        <w:rPr>
          <w:rFonts w:ascii="Palatino Linotype" w:hAnsi="Palatino Linotype" w:cs="Arial"/>
          <w:sz w:val="24"/>
          <w:szCs w:val="24"/>
        </w:rPr>
        <w:lastRenderedPageBreak/>
        <w:t xml:space="preserve">Resultan </w:t>
      </w:r>
      <w:r w:rsidR="00EA3894" w:rsidRPr="00CE7631">
        <w:rPr>
          <w:rFonts w:ascii="Palatino Linotype" w:hAnsi="Palatino Linotype" w:cs="Arial"/>
          <w:sz w:val="24"/>
          <w:szCs w:val="24"/>
        </w:rPr>
        <w:t>fundada</w:t>
      </w:r>
      <w:r w:rsidR="007E1651" w:rsidRPr="00CE7631">
        <w:rPr>
          <w:rFonts w:ascii="Palatino Linotype" w:hAnsi="Palatino Linotype" w:cs="Arial"/>
          <w:sz w:val="24"/>
          <w:szCs w:val="24"/>
        </w:rPr>
        <w:t>s</w:t>
      </w:r>
      <w:r w:rsidR="00F42DAD" w:rsidRPr="00CE7631">
        <w:rPr>
          <w:rFonts w:ascii="Palatino Linotype" w:hAnsi="Palatino Linotype" w:cs="Arial"/>
          <w:sz w:val="24"/>
          <w:szCs w:val="24"/>
        </w:rPr>
        <w:t xml:space="preserve"> </w:t>
      </w:r>
      <w:r w:rsidR="00EA3894" w:rsidRPr="00CE7631">
        <w:rPr>
          <w:rFonts w:ascii="Palatino Linotype" w:hAnsi="Palatino Linotype" w:cs="Arial"/>
          <w:sz w:val="24"/>
          <w:szCs w:val="24"/>
        </w:rPr>
        <w:t>la</w:t>
      </w:r>
      <w:r w:rsidR="0000525F" w:rsidRPr="00CE7631">
        <w:rPr>
          <w:rFonts w:ascii="Palatino Linotype" w:hAnsi="Palatino Linotype" w:cs="Arial"/>
          <w:sz w:val="24"/>
          <w:szCs w:val="24"/>
        </w:rPr>
        <w:t>s</w:t>
      </w:r>
      <w:r w:rsidRPr="00CE7631">
        <w:rPr>
          <w:rFonts w:ascii="Palatino Linotype" w:hAnsi="Palatino Linotype" w:cs="Arial"/>
          <w:sz w:val="24"/>
          <w:szCs w:val="24"/>
        </w:rPr>
        <w:t xml:space="preserve"> </w:t>
      </w:r>
      <w:r w:rsidR="00EA3894" w:rsidRPr="00CE7631">
        <w:rPr>
          <w:rFonts w:ascii="Palatino Linotype" w:hAnsi="Palatino Linotype" w:cs="Arial"/>
          <w:sz w:val="24"/>
          <w:szCs w:val="24"/>
        </w:rPr>
        <w:t xml:space="preserve">razones o </w:t>
      </w:r>
      <w:r w:rsidRPr="00CE7631">
        <w:rPr>
          <w:rFonts w:ascii="Palatino Linotype" w:hAnsi="Palatino Linotype" w:cs="Arial"/>
          <w:sz w:val="24"/>
          <w:szCs w:val="24"/>
        </w:rPr>
        <w:t xml:space="preserve">motivos de inconformidad </w:t>
      </w:r>
      <w:r w:rsidR="0000525F" w:rsidRPr="00CE7631">
        <w:rPr>
          <w:rFonts w:ascii="Palatino Linotype" w:hAnsi="Palatino Linotype" w:cs="Arial"/>
          <w:sz w:val="24"/>
          <w:szCs w:val="24"/>
        </w:rPr>
        <w:t xml:space="preserve">que arguye </w:t>
      </w:r>
      <w:r w:rsidR="00E71F88" w:rsidRPr="00CE7631">
        <w:rPr>
          <w:rFonts w:ascii="Palatino Linotype" w:hAnsi="Palatino Linotype" w:cs="Arial"/>
          <w:sz w:val="24"/>
          <w:szCs w:val="24"/>
        </w:rPr>
        <w:t>la parte recurrente</w:t>
      </w:r>
      <w:r w:rsidRPr="00CE7631">
        <w:rPr>
          <w:rFonts w:ascii="Palatino Linotype" w:hAnsi="Palatino Linotype" w:cs="Arial"/>
          <w:sz w:val="24"/>
          <w:szCs w:val="24"/>
        </w:rPr>
        <w:t>, en</w:t>
      </w:r>
      <w:r w:rsidR="00AA49F3" w:rsidRPr="00CE7631">
        <w:rPr>
          <w:rFonts w:ascii="Palatino Linotype" w:hAnsi="Palatino Linotype" w:cs="Arial"/>
          <w:sz w:val="24"/>
          <w:szCs w:val="24"/>
        </w:rPr>
        <w:t xml:space="preserve"> t</w:t>
      </w:r>
      <w:r w:rsidR="00E71F88" w:rsidRPr="00CE7631">
        <w:rPr>
          <w:rFonts w:ascii="Palatino Linotype" w:hAnsi="Palatino Linotype" w:cs="Arial"/>
          <w:sz w:val="24"/>
          <w:szCs w:val="24"/>
        </w:rPr>
        <w:t xml:space="preserve">érminos del Considerando </w:t>
      </w:r>
      <w:r w:rsidR="00E71F88" w:rsidRPr="00CE7631">
        <w:rPr>
          <w:rFonts w:ascii="Palatino Linotype" w:hAnsi="Palatino Linotype" w:cs="Arial"/>
          <w:b/>
          <w:sz w:val="24"/>
          <w:szCs w:val="24"/>
        </w:rPr>
        <w:t>CUARTO</w:t>
      </w:r>
      <w:r w:rsidRPr="00CE7631">
        <w:rPr>
          <w:rFonts w:ascii="Palatino Linotype" w:hAnsi="Palatino Linotype" w:cs="Arial"/>
          <w:sz w:val="24"/>
          <w:szCs w:val="24"/>
        </w:rPr>
        <w:t xml:space="preserve"> de la r</w:t>
      </w:r>
      <w:r w:rsidR="00F42DAD" w:rsidRPr="00CE7631">
        <w:rPr>
          <w:rFonts w:ascii="Palatino Linotype" w:hAnsi="Palatino Linotype" w:cs="Arial"/>
          <w:sz w:val="24"/>
          <w:szCs w:val="24"/>
        </w:rPr>
        <w:t xml:space="preserve">esolución </w:t>
      </w:r>
      <w:r w:rsidR="00582793">
        <w:rPr>
          <w:rFonts w:ascii="Palatino Linotype" w:hAnsi="Palatino Linotype" w:cs="Arial"/>
          <w:sz w:val="24"/>
          <w:szCs w:val="24"/>
        </w:rPr>
        <w:t xml:space="preserve">y se </w:t>
      </w:r>
      <w:r w:rsidR="00582793" w:rsidRPr="00582793">
        <w:rPr>
          <w:rFonts w:ascii="Palatino Linotype" w:hAnsi="Palatino Linotype" w:cs="Arial"/>
          <w:b/>
          <w:sz w:val="24"/>
          <w:szCs w:val="24"/>
        </w:rPr>
        <w:t>MODIFICA</w:t>
      </w:r>
      <w:r w:rsidRPr="00CE7631">
        <w:rPr>
          <w:rFonts w:ascii="Palatino Linotype" w:hAnsi="Palatino Linotype" w:cs="Arial"/>
          <w:sz w:val="24"/>
          <w:szCs w:val="24"/>
        </w:rPr>
        <w:t xml:space="preserve"> la respuesta otorgada por el </w:t>
      </w:r>
      <w:r w:rsidRPr="00CE7631">
        <w:rPr>
          <w:rFonts w:ascii="Palatino Linotype" w:hAnsi="Palatino Linotype" w:cs="Arial"/>
          <w:b/>
          <w:sz w:val="24"/>
          <w:szCs w:val="24"/>
        </w:rPr>
        <w:t>SUJETO OBLIGADO</w:t>
      </w:r>
      <w:r w:rsidRPr="00CE7631">
        <w:rPr>
          <w:rFonts w:ascii="Palatino Linotype" w:hAnsi="Palatino Linotype" w:cs="Arial"/>
          <w:sz w:val="24"/>
          <w:szCs w:val="24"/>
        </w:rPr>
        <w:t>.</w:t>
      </w:r>
    </w:p>
    <w:p w:rsidR="00D33AF9" w:rsidRPr="00CE7631" w:rsidRDefault="00D33AF9" w:rsidP="00E922BD">
      <w:pPr>
        <w:pStyle w:val="Prrafodelista"/>
        <w:spacing w:line="360" w:lineRule="auto"/>
        <w:rPr>
          <w:rFonts w:ascii="Palatino Linotype" w:hAnsi="Palatino Linotype" w:cs="Arial"/>
          <w:sz w:val="24"/>
          <w:szCs w:val="24"/>
        </w:rPr>
      </w:pPr>
    </w:p>
    <w:p w:rsidR="00CE7631" w:rsidRPr="00CE7631" w:rsidRDefault="00582793" w:rsidP="00E922BD">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El</w:t>
      </w:r>
      <w:r w:rsidR="0046491C" w:rsidRPr="00CE7631">
        <w:rPr>
          <w:rFonts w:ascii="Palatino Linotype" w:hAnsi="Palatino Linotype" w:cs="Arial"/>
          <w:sz w:val="24"/>
          <w:szCs w:val="24"/>
        </w:rPr>
        <w:t xml:space="preserve"> </w:t>
      </w:r>
      <w:r w:rsidR="000B43C9">
        <w:rPr>
          <w:rFonts w:ascii="Palatino Linotype" w:hAnsi="Palatino Linotype" w:cs="Arial"/>
          <w:sz w:val="24"/>
          <w:szCs w:val="24"/>
        </w:rPr>
        <w:t xml:space="preserve">presente voto </w:t>
      </w:r>
      <w:r w:rsidR="0046491C" w:rsidRPr="00CE7631">
        <w:rPr>
          <w:rFonts w:ascii="Palatino Linotype" w:hAnsi="Palatino Linotype" w:cs="Arial"/>
          <w:sz w:val="24"/>
          <w:szCs w:val="24"/>
        </w:rPr>
        <w:t>particular se</w:t>
      </w:r>
      <w:r w:rsidR="007E1651" w:rsidRPr="00CE7631">
        <w:rPr>
          <w:rFonts w:ascii="Palatino Linotype" w:hAnsi="Palatino Linotype" w:cs="Arial"/>
          <w:sz w:val="24"/>
          <w:szCs w:val="24"/>
        </w:rPr>
        <w:t xml:space="preserve"> deriva </w:t>
      </w:r>
      <w:r w:rsidR="00EA3894" w:rsidRPr="00CE7631">
        <w:rPr>
          <w:rFonts w:ascii="Palatino Linotype" w:hAnsi="Palatino Linotype" w:cs="Arial"/>
          <w:sz w:val="24"/>
          <w:szCs w:val="24"/>
        </w:rPr>
        <w:t xml:space="preserve">específicamente </w:t>
      </w:r>
      <w:r w:rsidR="007E1651" w:rsidRPr="00CE7631">
        <w:rPr>
          <w:rFonts w:ascii="Palatino Linotype" w:hAnsi="Palatino Linotype" w:cs="Arial"/>
          <w:sz w:val="24"/>
          <w:szCs w:val="24"/>
        </w:rPr>
        <w:t xml:space="preserve">del </w:t>
      </w:r>
      <w:r w:rsidR="009844AE">
        <w:rPr>
          <w:rFonts w:ascii="Palatino Linotype" w:hAnsi="Palatino Linotype" w:cs="Arial"/>
          <w:sz w:val="24"/>
          <w:szCs w:val="24"/>
        </w:rPr>
        <w:t>cobro de las copias certificadas</w:t>
      </w:r>
      <w:r w:rsidR="007E1FDC" w:rsidRPr="00CE7631">
        <w:rPr>
          <w:rFonts w:ascii="Palatino Linotype" w:hAnsi="Palatino Linotype" w:cs="Arial"/>
          <w:sz w:val="24"/>
          <w:szCs w:val="24"/>
        </w:rPr>
        <w:t xml:space="preserve"> </w:t>
      </w:r>
      <w:r w:rsidR="00EA3894" w:rsidRPr="00CE7631">
        <w:rPr>
          <w:rFonts w:ascii="Palatino Linotype" w:hAnsi="Palatino Linotype" w:cs="Arial"/>
          <w:sz w:val="24"/>
          <w:szCs w:val="24"/>
        </w:rPr>
        <w:t>de</w:t>
      </w:r>
      <w:r w:rsidR="007E1FDC" w:rsidRPr="00CE7631">
        <w:rPr>
          <w:rFonts w:ascii="Palatino Linotype" w:hAnsi="Palatino Linotype" w:cs="Arial"/>
          <w:sz w:val="24"/>
          <w:szCs w:val="24"/>
        </w:rPr>
        <w:t xml:space="preserve"> </w:t>
      </w:r>
      <w:r w:rsidR="00EA3894" w:rsidRPr="00CE7631">
        <w:rPr>
          <w:rFonts w:ascii="Palatino Linotype" w:hAnsi="Palatino Linotype" w:cs="Arial"/>
          <w:sz w:val="24"/>
          <w:szCs w:val="24"/>
        </w:rPr>
        <w:t>l</w:t>
      </w:r>
      <w:r w:rsidR="007E1FDC" w:rsidRPr="00CE7631">
        <w:rPr>
          <w:rFonts w:ascii="Palatino Linotype" w:hAnsi="Palatino Linotype" w:cs="Arial"/>
          <w:sz w:val="24"/>
          <w:szCs w:val="24"/>
        </w:rPr>
        <w:t>as</w:t>
      </w:r>
      <w:r w:rsidR="00EA3894" w:rsidRPr="00CE7631">
        <w:rPr>
          <w:rFonts w:ascii="Palatino Linotype" w:hAnsi="Palatino Linotype" w:cs="Arial"/>
          <w:sz w:val="24"/>
          <w:szCs w:val="24"/>
        </w:rPr>
        <w:t xml:space="preserve"> que se ha ordena</w:t>
      </w:r>
      <w:r w:rsidR="007E1FDC" w:rsidRPr="00CE7631">
        <w:rPr>
          <w:rFonts w:ascii="Palatino Linotype" w:hAnsi="Palatino Linotype" w:cs="Arial"/>
          <w:sz w:val="24"/>
          <w:szCs w:val="24"/>
        </w:rPr>
        <w:t xml:space="preserve">do la entrega, por las razones de hecho y de derecho que se mencionan más adelante. </w:t>
      </w:r>
      <w:r w:rsidR="0046491C" w:rsidRPr="00CE7631">
        <w:rPr>
          <w:rFonts w:ascii="Palatino Linotype" w:hAnsi="Palatino Linotype" w:cs="Arial"/>
          <w:sz w:val="24"/>
          <w:szCs w:val="24"/>
        </w:rPr>
        <w:t xml:space="preserve">Por tal motivo y en términos de lo señalado por los artículos </w:t>
      </w:r>
      <w:r w:rsidR="00AA49F3" w:rsidRPr="00CE7631">
        <w:rPr>
          <w:rFonts w:ascii="Palatino Linotype" w:hAnsi="Palatino Linotype" w:cs="Arial"/>
          <w:sz w:val="24"/>
          <w:szCs w:val="24"/>
        </w:rPr>
        <w:t>14</w:t>
      </w:r>
      <w:r w:rsidR="0046491C" w:rsidRPr="00CE7631">
        <w:rPr>
          <w:rFonts w:ascii="Palatino Linotype" w:hAnsi="Palatino Linotype" w:cs="Arial"/>
          <w:sz w:val="24"/>
          <w:szCs w:val="24"/>
        </w:rPr>
        <w:t xml:space="preserve"> </w:t>
      </w:r>
      <w:proofErr w:type="gramStart"/>
      <w:r w:rsidR="0046491C" w:rsidRPr="00CE7631">
        <w:rPr>
          <w:rFonts w:ascii="Palatino Linotype" w:hAnsi="Palatino Linotype" w:cs="Arial"/>
          <w:sz w:val="24"/>
          <w:szCs w:val="24"/>
        </w:rPr>
        <w:t>fracción</w:t>
      </w:r>
      <w:proofErr w:type="gramEnd"/>
      <w:r w:rsidR="0046491C" w:rsidRPr="00CE7631">
        <w:rPr>
          <w:rFonts w:ascii="Palatino Linotype" w:hAnsi="Palatino Linotype" w:cs="Arial"/>
          <w:sz w:val="24"/>
          <w:szCs w:val="24"/>
        </w:rPr>
        <w:t xml:space="preserve"> </w:t>
      </w:r>
      <w:r w:rsidR="00AA49F3" w:rsidRPr="00CE7631">
        <w:rPr>
          <w:rFonts w:ascii="Palatino Linotype" w:hAnsi="Palatino Linotype" w:cs="Arial"/>
          <w:sz w:val="24"/>
          <w:szCs w:val="24"/>
        </w:rPr>
        <w:t>XI</w:t>
      </w:r>
      <w:r w:rsidR="0046491C" w:rsidRPr="00CE7631">
        <w:rPr>
          <w:rFonts w:ascii="Palatino Linotype" w:hAnsi="Palatino Linotype" w:cs="Arial"/>
          <w:sz w:val="24"/>
          <w:szCs w:val="24"/>
        </w:rPr>
        <w:t xml:space="preserve"> del Reglamento Interior del Instituto de Transparencia y Acceso a la Información Pública del Estad</w:t>
      </w:r>
      <w:r w:rsidR="00476367">
        <w:rPr>
          <w:rFonts w:ascii="Palatino Linotype" w:hAnsi="Palatino Linotype" w:cs="Arial"/>
          <w:sz w:val="24"/>
          <w:szCs w:val="24"/>
        </w:rPr>
        <w:t>o de México y Municipios formulamos</w:t>
      </w:r>
      <w:r w:rsidR="0046491C" w:rsidRPr="00CE7631">
        <w:rPr>
          <w:rFonts w:ascii="Palatino Linotype" w:hAnsi="Palatino Linotype" w:cs="Arial"/>
          <w:sz w:val="24"/>
          <w:szCs w:val="24"/>
        </w:rPr>
        <w:t xml:space="preserve"> el presente voto particular. </w:t>
      </w:r>
    </w:p>
    <w:p w:rsidR="0046491C" w:rsidRDefault="0046491C" w:rsidP="009844AE">
      <w:pPr>
        <w:pStyle w:val="Ttulo1"/>
        <w:numPr>
          <w:ilvl w:val="0"/>
          <w:numId w:val="12"/>
        </w:numPr>
        <w:spacing w:line="360" w:lineRule="auto"/>
        <w:ind w:left="0" w:firstLine="0"/>
        <w:rPr>
          <w:rFonts w:ascii="Palatino Linotype" w:hAnsi="Palatino Linotype"/>
          <w:b/>
          <w:color w:val="auto"/>
          <w:sz w:val="24"/>
          <w:szCs w:val="24"/>
        </w:rPr>
      </w:pPr>
      <w:bookmarkStart w:id="2" w:name="_Toc536191457"/>
      <w:r w:rsidRPr="00CE7631">
        <w:rPr>
          <w:rFonts w:ascii="Palatino Linotype" w:hAnsi="Palatino Linotype"/>
          <w:b/>
          <w:color w:val="auto"/>
          <w:sz w:val="24"/>
          <w:szCs w:val="24"/>
        </w:rPr>
        <w:t>De los requerimientos planteados en el recurso de revisión.</w:t>
      </w:r>
      <w:bookmarkEnd w:id="2"/>
    </w:p>
    <w:p w:rsidR="00582793" w:rsidRPr="00582793" w:rsidRDefault="00582793" w:rsidP="00582793"/>
    <w:p w:rsidR="0046491C" w:rsidRPr="00CE7631" w:rsidRDefault="000B43C9" w:rsidP="00E922BD">
      <w:pPr>
        <w:pStyle w:val="Prrafodelista"/>
        <w:numPr>
          <w:ilvl w:val="0"/>
          <w:numId w:val="1"/>
        </w:numPr>
        <w:spacing w:after="0" w:line="360" w:lineRule="auto"/>
        <w:ind w:left="0" w:firstLine="0"/>
        <w:jc w:val="both"/>
        <w:rPr>
          <w:rFonts w:ascii="Palatino Linotype" w:eastAsia="Times New Roman" w:hAnsi="Palatino Linotype" w:cs="Arial"/>
          <w:sz w:val="24"/>
          <w:szCs w:val="24"/>
        </w:rPr>
      </w:pPr>
      <w:r>
        <w:rPr>
          <w:rFonts w:ascii="Palatino Linotype" w:hAnsi="Palatino Linotype" w:cs="Arial"/>
          <w:sz w:val="24"/>
          <w:szCs w:val="24"/>
        </w:rPr>
        <w:t>Se</w:t>
      </w:r>
      <w:r w:rsidR="0046491C" w:rsidRPr="00CE7631">
        <w:rPr>
          <w:rFonts w:ascii="Palatino Linotype" w:hAnsi="Palatino Linotype" w:cs="Arial"/>
          <w:sz w:val="24"/>
          <w:szCs w:val="24"/>
        </w:rPr>
        <w:t xml:space="preserve"> </w:t>
      </w:r>
      <w:r w:rsidR="00582793">
        <w:rPr>
          <w:rFonts w:ascii="Palatino Linotype" w:hAnsi="Palatino Linotype" w:cs="Arial"/>
          <w:sz w:val="24"/>
          <w:szCs w:val="24"/>
        </w:rPr>
        <w:t xml:space="preserve">requirió </w:t>
      </w:r>
      <w:r w:rsidR="0046491C" w:rsidRPr="00CE7631">
        <w:rPr>
          <w:rFonts w:ascii="Palatino Linotype" w:hAnsi="Palatino Linotype" w:cs="Arial"/>
          <w:sz w:val="24"/>
          <w:szCs w:val="24"/>
        </w:rPr>
        <w:t xml:space="preserve">mediante la solicitud de acceso a </w:t>
      </w:r>
      <w:r w:rsidR="00582793">
        <w:rPr>
          <w:rFonts w:ascii="Palatino Linotype" w:hAnsi="Palatino Linotype" w:cs="Arial"/>
          <w:sz w:val="24"/>
          <w:szCs w:val="24"/>
        </w:rPr>
        <w:t>datos</w:t>
      </w:r>
      <w:r w:rsidR="0046491C" w:rsidRPr="00CE7631">
        <w:rPr>
          <w:rFonts w:ascii="Palatino Linotype" w:hAnsi="Palatino Linotype" w:cs="Arial"/>
          <w:sz w:val="24"/>
          <w:szCs w:val="24"/>
        </w:rPr>
        <w:t xml:space="preserve"> </w:t>
      </w:r>
      <w:r w:rsidR="0046491C" w:rsidRPr="00CE7631">
        <w:rPr>
          <w:rFonts w:ascii="Palatino Linotype" w:hAnsi="Palatino Linotype" w:cs="Arial"/>
          <w:b/>
          <w:sz w:val="24"/>
          <w:szCs w:val="24"/>
        </w:rPr>
        <w:t>00</w:t>
      </w:r>
      <w:r w:rsidR="00582793">
        <w:rPr>
          <w:rFonts w:ascii="Palatino Linotype" w:hAnsi="Palatino Linotype" w:cs="Arial"/>
          <w:b/>
          <w:sz w:val="24"/>
          <w:szCs w:val="24"/>
        </w:rPr>
        <w:t>005</w:t>
      </w:r>
      <w:r w:rsidR="00CE7631">
        <w:rPr>
          <w:rFonts w:ascii="Palatino Linotype" w:hAnsi="Palatino Linotype" w:cs="Arial"/>
          <w:b/>
          <w:sz w:val="24"/>
          <w:szCs w:val="24"/>
        </w:rPr>
        <w:t>/</w:t>
      </w:r>
      <w:r w:rsidR="00582793">
        <w:rPr>
          <w:rFonts w:ascii="Palatino Linotype" w:hAnsi="Palatino Linotype" w:cs="Arial"/>
          <w:b/>
          <w:sz w:val="24"/>
          <w:szCs w:val="24"/>
        </w:rPr>
        <w:t>DIFEM/AD</w:t>
      </w:r>
      <w:r w:rsidR="00CE7631">
        <w:rPr>
          <w:rFonts w:ascii="Palatino Linotype" w:hAnsi="Palatino Linotype" w:cs="Arial"/>
          <w:b/>
          <w:sz w:val="24"/>
          <w:szCs w:val="24"/>
        </w:rPr>
        <w:t>/2018</w:t>
      </w:r>
      <w:r w:rsidR="0046491C" w:rsidRPr="00CE7631">
        <w:rPr>
          <w:rFonts w:ascii="Palatino Linotype" w:hAnsi="Palatino Linotype" w:cs="Arial"/>
          <w:b/>
          <w:sz w:val="24"/>
          <w:szCs w:val="24"/>
        </w:rPr>
        <w:t>,</w:t>
      </w:r>
      <w:r w:rsidR="00902248" w:rsidRPr="00CE7631">
        <w:rPr>
          <w:rFonts w:ascii="Palatino Linotype" w:hAnsi="Palatino Linotype" w:cs="Arial"/>
          <w:b/>
          <w:sz w:val="24"/>
          <w:szCs w:val="24"/>
        </w:rPr>
        <w:t xml:space="preserve"> </w:t>
      </w:r>
      <w:r w:rsidR="00582793">
        <w:rPr>
          <w:rFonts w:ascii="Palatino Linotype" w:hAnsi="Palatino Linotype" w:cs="Arial"/>
          <w:b/>
          <w:sz w:val="24"/>
          <w:szCs w:val="24"/>
        </w:rPr>
        <w:t xml:space="preserve"> en copias certificadas, </w:t>
      </w:r>
      <w:r w:rsidR="0046491C" w:rsidRPr="00CE7631">
        <w:rPr>
          <w:rFonts w:ascii="Palatino Linotype" w:hAnsi="Palatino Linotype" w:cs="Arial"/>
          <w:sz w:val="24"/>
          <w:szCs w:val="24"/>
        </w:rPr>
        <w:t xml:space="preserve">lo siguiente: </w:t>
      </w:r>
    </w:p>
    <w:p w:rsidR="007E1651" w:rsidRPr="00CE7631" w:rsidRDefault="007E1651" w:rsidP="00E922BD">
      <w:pPr>
        <w:pStyle w:val="Prrafodelista"/>
        <w:spacing w:after="0" w:line="360" w:lineRule="auto"/>
        <w:ind w:left="360"/>
        <w:jc w:val="both"/>
        <w:rPr>
          <w:rFonts w:ascii="Palatino Linotype" w:eastAsia="Times New Roman" w:hAnsi="Palatino Linotype" w:cs="Arial"/>
          <w:sz w:val="24"/>
          <w:szCs w:val="24"/>
        </w:rPr>
      </w:pPr>
    </w:p>
    <w:p w:rsidR="00582793" w:rsidRPr="00582793" w:rsidRDefault="00582793" w:rsidP="00767D46">
      <w:pPr>
        <w:pStyle w:val="Prrafodelista"/>
        <w:numPr>
          <w:ilvl w:val="0"/>
          <w:numId w:val="14"/>
        </w:numPr>
        <w:spacing w:after="0" w:line="360" w:lineRule="auto"/>
        <w:ind w:left="567" w:right="616"/>
        <w:jc w:val="both"/>
        <w:rPr>
          <w:rFonts w:ascii="Palatino Linotype" w:hAnsi="Palatino Linotype"/>
          <w:color w:val="000000"/>
          <w:sz w:val="24"/>
          <w:szCs w:val="24"/>
        </w:rPr>
      </w:pPr>
      <w:r w:rsidRPr="00582793">
        <w:rPr>
          <w:rFonts w:ascii="Palatino Linotype" w:hAnsi="Palatino Linotype" w:cs="Arial"/>
          <w:sz w:val="24"/>
          <w:szCs w:val="24"/>
          <w:lang w:eastAsia="es-MX"/>
        </w:rPr>
        <w:t>Documentos que conforman el expediente aperturado con motivo de la denuncia electrónica de número</w:t>
      </w:r>
      <w:r w:rsidRPr="00582793">
        <w:rPr>
          <w:rFonts w:ascii="Palatino Linotype" w:hAnsi="Palatino Linotype"/>
          <w:color w:val="000000"/>
          <w:sz w:val="24"/>
          <w:szCs w:val="24"/>
        </w:rPr>
        <w:t xml:space="preserve"> de folio 17270-2017-2625.</w:t>
      </w:r>
    </w:p>
    <w:p w:rsidR="00582793" w:rsidRPr="00582793" w:rsidRDefault="00582793" w:rsidP="00767D46">
      <w:pPr>
        <w:pStyle w:val="Prrafodelista"/>
        <w:numPr>
          <w:ilvl w:val="0"/>
          <w:numId w:val="14"/>
        </w:numPr>
        <w:spacing w:after="0" w:line="360" w:lineRule="auto"/>
        <w:ind w:left="567" w:right="616"/>
        <w:jc w:val="both"/>
        <w:rPr>
          <w:rFonts w:ascii="Palatino Linotype" w:hAnsi="Palatino Linotype"/>
          <w:color w:val="000000"/>
          <w:sz w:val="24"/>
          <w:szCs w:val="24"/>
        </w:rPr>
      </w:pPr>
      <w:r w:rsidRPr="00582793">
        <w:rPr>
          <w:rFonts w:ascii="Palatino Linotype" w:hAnsi="Palatino Linotype"/>
          <w:color w:val="000000"/>
          <w:sz w:val="24"/>
          <w:szCs w:val="24"/>
        </w:rPr>
        <w:t xml:space="preserve">Pronunciamiento del estado que guarda dicho procedimiento. </w:t>
      </w:r>
    </w:p>
    <w:p w:rsidR="00582793" w:rsidRPr="00582793" w:rsidRDefault="00582793" w:rsidP="00767D46">
      <w:pPr>
        <w:pStyle w:val="Prrafodelista"/>
        <w:numPr>
          <w:ilvl w:val="0"/>
          <w:numId w:val="14"/>
        </w:numPr>
        <w:spacing w:after="0" w:line="360" w:lineRule="auto"/>
        <w:ind w:left="567" w:right="616"/>
        <w:jc w:val="both"/>
        <w:rPr>
          <w:rFonts w:ascii="Palatino Linotype" w:hAnsi="Palatino Linotype"/>
          <w:color w:val="000000"/>
          <w:sz w:val="24"/>
          <w:szCs w:val="24"/>
        </w:rPr>
      </w:pPr>
      <w:r w:rsidRPr="00582793">
        <w:rPr>
          <w:rFonts w:ascii="Palatino Linotype" w:hAnsi="Palatino Linotype"/>
          <w:color w:val="000000"/>
          <w:sz w:val="24"/>
          <w:szCs w:val="24"/>
        </w:rPr>
        <w:t>Formato único de movimientos de personal (FUMP) de baja a mi nombre.</w:t>
      </w:r>
    </w:p>
    <w:p w:rsidR="00E922BD" w:rsidRPr="00E922BD" w:rsidRDefault="00E922BD" w:rsidP="00582793">
      <w:pPr>
        <w:spacing w:line="360" w:lineRule="auto"/>
        <w:ind w:left="567" w:right="616"/>
        <w:jc w:val="both"/>
        <w:rPr>
          <w:rFonts w:ascii="Palatino Linotype" w:eastAsia="Times New Roman" w:hAnsi="Palatino Linotype" w:cs="Times New Roman"/>
          <w:i/>
          <w:sz w:val="24"/>
          <w:szCs w:val="24"/>
          <w:lang w:val="es-ES" w:eastAsia="es-ES"/>
        </w:rPr>
      </w:pPr>
    </w:p>
    <w:p w:rsidR="00767D46" w:rsidRDefault="00767D46" w:rsidP="00767D46">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E</w:t>
      </w:r>
      <w:r w:rsidR="0046491C" w:rsidRPr="00CE7631">
        <w:rPr>
          <w:rFonts w:ascii="Palatino Linotype" w:hAnsi="Palatino Linotype" w:cs="Arial"/>
          <w:sz w:val="24"/>
          <w:szCs w:val="24"/>
        </w:rPr>
        <w:t xml:space="preserve">l </w:t>
      </w:r>
      <w:r w:rsidR="0046491C" w:rsidRPr="00CE7631">
        <w:rPr>
          <w:rFonts w:ascii="Palatino Linotype" w:hAnsi="Palatino Linotype" w:cs="Arial"/>
          <w:b/>
          <w:sz w:val="24"/>
          <w:szCs w:val="24"/>
        </w:rPr>
        <w:t>SUJETO OBLIGADO</w:t>
      </w:r>
      <w:r w:rsidR="0046491C" w:rsidRPr="00CE7631">
        <w:rPr>
          <w:rFonts w:ascii="Palatino Linotype" w:hAnsi="Palatino Linotype" w:cs="Arial"/>
          <w:sz w:val="24"/>
          <w:szCs w:val="24"/>
        </w:rPr>
        <w:t xml:space="preserve"> en su respuesta</w:t>
      </w:r>
      <w:r w:rsidR="00937D7D" w:rsidRPr="00CE7631">
        <w:rPr>
          <w:rFonts w:ascii="Palatino Linotype" w:hAnsi="Palatino Linotype" w:cs="Arial"/>
          <w:sz w:val="24"/>
          <w:szCs w:val="24"/>
        </w:rPr>
        <w:t xml:space="preserve"> </w:t>
      </w:r>
      <w:r>
        <w:rPr>
          <w:rFonts w:ascii="Palatino Linotype" w:hAnsi="Palatino Linotype" w:cs="Arial"/>
          <w:sz w:val="24"/>
          <w:szCs w:val="24"/>
        </w:rPr>
        <w:t>entregó parte de la información, tal como el formato único de movimientos de personal y la queja interpuesta por la parte recurrente.</w:t>
      </w:r>
    </w:p>
    <w:p w:rsidR="00E71F88" w:rsidRPr="00CE7631" w:rsidRDefault="00767D46" w:rsidP="00767D46">
      <w:pPr>
        <w:pStyle w:val="Prrafodelista"/>
        <w:spacing w:after="0" w:line="360" w:lineRule="auto"/>
        <w:ind w:left="0"/>
        <w:jc w:val="both"/>
        <w:rPr>
          <w:rFonts w:ascii="Palatino Linotype" w:hAnsi="Palatino Linotype" w:cs="Arial"/>
          <w:sz w:val="24"/>
          <w:szCs w:val="24"/>
        </w:rPr>
      </w:pPr>
      <w:r w:rsidRPr="00CE7631">
        <w:rPr>
          <w:rFonts w:ascii="Palatino Linotype" w:hAnsi="Palatino Linotype" w:cs="Arial"/>
          <w:sz w:val="24"/>
          <w:szCs w:val="24"/>
        </w:rPr>
        <w:t xml:space="preserve"> </w:t>
      </w:r>
    </w:p>
    <w:p w:rsidR="00767D46" w:rsidRDefault="00767D46" w:rsidP="00767D46">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La inconformidad fue porque no se entregó la información en copias certificadas, tal y como se había solicitado.</w:t>
      </w:r>
    </w:p>
    <w:p w:rsidR="00767D46" w:rsidRPr="00767D46" w:rsidRDefault="00767D46" w:rsidP="00767D46">
      <w:pPr>
        <w:pStyle w:val="Prrafodelista"/>
        <w:rPr>
          <w:rFonts w:ascii="Palatino Linotype" w:hAnsi="Palatino Linotype" w:cs="Arial"/>
          <w:sz w:val="24"/>
          <w:szCs w:val="24"/>
        </w:rPr>
      </w:pPr>
    </w:p>
    <w:p w:rsidR="009C04C7" w:rsidRPr="00767D46" w:rsidRDefault="00F92351" w:rsidP="00767D46">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767D46">
        <w:rPr>
          <w:rFonts w:ascii="Palatino Linotype" w:hAnsi="Palatino Linotype" w:cs="Arial"/>
          <w:sz w:val="24"/>
          <w:szCs w:val="24"/>
        </w:rPr>
        <w:t>P</w:t>
      </w:r>
      <w:r w:rsidR="00767D46">
        <w:rPr>
          <w:rFonts w:ascii="Palatino Linotype" w:hAnsi="Palatino Linotype" w:cs="Arial"/>
          <w:sz w:val="24"/>
          <w:szCs w:val="24"/>
        </w:rPr>
        <w:t>or su parte, el Sujeto Obligado, en informe justificado, ratificó su respuesta inicial.</w:t>
      </w:r>
    </w:p>
    <w:p w:rsidR="009C04C7" w:rsidRPr="00CE7631" w:rsidRDefault="009C04C7" w:rsidP="00E922BD">
      <w:pPr>
        <w:pStyle w:val="Prrafodelista"/>
        <w:spacing w:line="360" w:lineRule="auto"/>
        <w:rPr>
          <w:rFonts w:ascii="Palatino Linotype" w:hAnsi="Palatino Linotype" w:cs="Arial"/>
          <w:i/>
          <w:sz w:val="24"/>
          <w:szCs w:val="24"/>
        </w:rPr>
      </w:pPr>
    </w:p>
    <w:p w:rsidR="00184DBC" w:rsidRDefault="00EC68E3" w:rsidP="009844AE">
      <w:pPr>
        <w:pStyle w:val="Prrafodelista"/>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3" w:name="_Toc499289482"/>
      <w:bookmarkStart w:id="4" w:name="_Toc536191458"/>
      <w:r w:rsidRPr="00CE7631">
        <w:rPr>
          <w:rFonts w:ascii="Palatino Linotype" w:eastAsiaTheme="majorEastAsia" w:hAnsi="Palatino Linotype" w:cs="Arial"/>
          <w:b/>
          <w:iCs/>
          <w:color w:val="000000" w:themeColor="text1"/>
          <w:sz w:val="24"/>
          <w:szCs w:val="24"/>
        </w:rPr>
        <w:t>El de</w:t>
      </w:r>
      <w:r w:rsidR="00D335A6">
        <w:rPr>
          <w:rFonts w:ascii="Palatino Linotype" w:eastAsiaTheme="majorEastAsia" w:hAnsi="Palatino Linotype" w:cs="Arial"/>
          <w:b/>
          <w:iCs/>
          <w:color w:val="000000" w:themeColor="text1"/>
          <w:sz w:val="24"/>
          <w:szCs w:val="24"/>
        </w:rPr>
        <w:t>recho de acceso a datos personales</w:t>
      </w:r>
      <w:r w:rsidRPr="00CE7631">
        <w:rPr>
          <w:rFonts w:ascii="Palatino Linotype" w:eastAsiaTheme="majorEastAsia" w:hAnsi="Palatino Linotype" w:cs="Arial"/>
          <w:b/>
          <w:iCs/>
          <w:color w:val="000000" w:themeColor="text1"/>
          <w:sz w:val="24"/>
          <w:szCs w:val="24"/>
        </w:rPr>
        <w:t>.</w:t>
      </w:r>
      <w:bookmarkEnd w:id="3"/>
      <w:bookmarkEnd w:id="4"/>
      <w:r w:rsidRPr="00CE7631">
        <w:rPr>
          <w:rFonts w:ascii="Palatino Linotype" w:eastAsiaTheme="majorEastAsia" w:hAnsi="Palatino Linotype" w:cs="Arial"/>
          <w:b/>
          <w:iCs/>
          <w:color w:val="000000" w:themeColor="text1"/>
          <w:sz w:val="24"/>
          <w:szCs w:val="24"/>
        </w:rPr>
        <w:t xml:space="preserve"> </w:t>
      </w:r>
    </w:p>
    <w:p w:rsidR="00F154C8" w:rsidRPr="009844AE" w:rsidRDefault="00F154C8" w:rsidP="00F154C8">
      <w:pPr>
        <w:pStyle w:val="Prrafodelista"/>
        <w:keepNext/>
        <w:keepLines/>
        <w:spacing w:before="40" w:after="0" w:line="360" w:lineRule="auto"/>
        <w:ind w:left="0"/>
        <w:outlineLvl w:val="1"/>
        <w:rPr>
          <w:rFonts w:ascii="Palatino Linotype" w:eastAsiaTheme="majorEastAsia" w:hAnsi="Palatino Linotype" w:cs="Arial"/>
          <w:b/>
          <w:iCs/>
          <w:color w:val="000000" w:themeColor="text1"/>
          <w:sz w:val="24"/>
          <w:szCs w:val="24"/>
        </w:rPr>
      </w:pPr>
    </w:p>
    <w:p w:rsidR="00EC68E3" w:rsidRPr="00CE7631" w:rsidRDefault="00EC68E3" w:rsidP="00E922BD">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w:t>
      </w:r>
      <w:r w:rsidR="00D335A6">
        <w:rPr>
          <w:rFonts w:ascii="Palatino Linotype" w:hAnsi="Palatino Linotype" w:cs="Arial"/>
          <w:color w:val="000000" w:themeColor="text1"/>
          <w:sz w:val="24"/>
          <w:szCs w:val="24"/>
        </w:rPr>
        <w:t>datos personales</w:t>
      </w:r>
      <w:r w:rsidRPr="00CE7631">
        <w:rPr>
          <w:rFonts w:ascii="Palatino Linotype" w:hAnsi="Palatino Linotype" w:cs="Arial"/>
          <w:color w:val="000000" w:themeColor="text1"/>
          <w:sz w:val="24"/>
          <w:szCs w:val="24"/>
        </w:rPr>
        <w:t xml:space="preserve"> reconocido </w:t>
      </w:r>
      <w:r w:rsidRPr="00CE7631">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w:t>
      </w:r>
      <w:r w:rsidR="00D335A6" w:rsidRPr="00D335A6">
        <w:rPr>
          <w:rFonts w:ascii="Palatino Linotype" w:eastAsia="Calibri" w:hAnsi="Palatino Linotype" w:cs="Arial"/>
          <w:b/>
          <w:color w:val="000000" w:themeColor="text1"/>
          <w:sz w:val="24"/>
          <w:szCs w:val="24"/>
          <w:lang w:val="es-ES" w:eastAsia="es-ES"/>
        </w:rPr>
        <w:t>dieciséis segundo párrafo</w:t>
      </w:r>
      <w:r w:rsidRPr="00CE7631">
        <w:rPr>
          <w:rFonts w:ascii="Palatino Linotype" w:eastAsia="Calibri" w:hAnsi="Palatino Linotype" w:cs="Arial"/>
          <w:color w:val="000000" w:themeColor="text1"/>
          <w:sz w:val="24"/>
          <w:szCs w:val="24"/>
          <w:lang w:val="es-ES" w:eastAsia="es-ES"/>
        </w:rPr>
        <w:t xml:space="preserve"> de la Constitución Política de los Estados Unidos Mexicanos y en el artículo quinto de la Constitución del Estado de México. Ya sea que entendamos a los derechos como realidades positivas que forman parte de </w:t>
      </w:r>
      <w:r w:rsidRPr="00CE7631">
        <w:rPr>
          <w:rFonts w:ascii="Palatino Linotype" w:eastAsia="Calibri" w:hAnsi="Palatino Linotype" w:cs="Arial"/>
          <w:i/>
          <w:color w:val="000000" w:themeColor="text1"/>
          <w:sz w:val="24"/>
          <w:szCs w:val="24"/>
          <w:lang w:val="es-ES" w:eastAsia="es-ES"/>
        </w:rPr>
        <w:t>la esfera de lo indecidible que</w:t>
      </w:r>
      <w:r w:rsidRPr="00CE7631">
        <w:rPr>
          <w:rFonts w:ascii="Palatino Linotype" w:eastAsia="Calibri" w:hAnsi="Palatino Linotype" w:cs="Arial"/>
          <w:color w:val="000000" w:themeColor="text1"/>
          <w:sz w:val="24"/>
          <w:szCs w:val="24"/>
          <w:lang w:val="es-ES" w:eastAsia="es-ES"/>
        </w:rPr>
        <w:t xml:space="preserve"> o de</w:t>
      </w:r>
      <w:r w:rsidRPr="00CE7631">
        <w:rPr>
          <w:rFonts w:ascii="Palatino Linotype" w:eastAsia="Calibri" w:hAnsi="Palatino Linotype" w:cs="Arial"/>
          <w:i/>
          <w:color w:val="000000" w:themeColor="text1"/>
          <w:sz w:val="24"/>
          <w:szCs w:val="24"/>
          <w:lang w:val="es-ES" w:eastAsia="es-ES"/>
        </w:rPr>
        <w:t xml:space="preserve"> lo indecidible </w:t>
      </w:r>
      <w:r w:rsidRPr="00CE7631">
        <w:rPr>
          <w:rFonts w:ascii="Palatino Linotype" w:eastAsia="Calibri" w:hAnsi="Palatino Linotype" w:cs="Arial"/>
          <w:i/>
          <w:color w:val="000000" w:themeColor="text1"/>
          <w:sz w:val="24"/>
          <w:szCs w:val="24"/>
          <w:lang w:val="es-ES" w:eastAsia="es-ES"/>
        </w:rPr>
        <w:lastRenderedPageBreak/>
        <w:t>que no</w:t>
      </w:r>
      <w:r w:rsidRPr="00CE7631">
        <w:rPr>
          <w:rFonts w:ascii="Palatino Linotype" w:eastAsia="Calibri" w:hAnsi="Palatino Linotype"/>
          <w:i/>
          <w:sz w:val="24"/>
          <w:szCs w:val="24"/>
          <w:vertAlign w:val="superscript"/>
          <w:lang w:val="es-ES" w:eastAsia="es-ES"/>
        </w:rPr>
        <w:footnoteReference w:id="1"/>
      </w:r>
      <w:r w:rsidRPr="00CE7631">
        <w:rPr>
          <w:rFonts w:ascii="Palatino Linotype" w:eastAsia="Calibri" w:hAnsi="Palatino Linotype" w:cs="Arial"/>
          <w:color w:val="000000" w:themeColor="text1"/>
          <w:sz w:val="24"/>
          <w:szCs w:val="24"/>
          <w:lang w:val="es-ES" w:eastAsia="es-ES"/>
        </w:rPr>
        <w:t xml:space="preserve"> o bien como principios que constituyen </w:t>
      </w:r>
      <w:r w:rsidRPr="00CE7631">
        <w:rPr>
          <w:rFonts w:ascii="Palatino Linotype" w:eastAsia="Calibri" w:hAnsi="Palatino Linotype" w:cs="Arial"/>
          <w:i/>
          <w:color w:val="000000" w:themeColor="text1"/>
          <w:sz w:val="24"/>
          <w:szCs w:val="24"/>
          <w:lang w:val="es-ES" w:eastAsia="es-ES"/>
        </w:rPr>
        <w:t>mandatos de optimización</w:t>
      </w:r>
      <w:r w:rsidRPr="00CE7631">
        <w:rPr>
          <w:rFonts w:ascii="Palatino Linotype" w:eastAsia="Calibri" w:hAnsi="Palatino Linotype" w:cs="Arial"/>
          <w:color w:val="000000" w:themeColor="text1"/>
          <w:sz w:val="24"/>
          <w:szCs w:val="24"/>
          <w:lang w:val="es-ES" w:eastAsia="es-ES"/>
        </w:rPr>
        <w:t>,</w:t>
      </w:r>
      <w:r w:rsidRPr="00CE7631">
        <w:rPr>
          <w:rFonts w:ascii="Palatino Linotype" w:eastAsia="Calibri" w:hAnsi="Palatino Linotype"/>
          <w:sz w:val="24"/>
          <w:szCs w:val="24"/>
          <w:vertAlign w:val="superscript"/>
          <w:lang w:val="es-ES" w:eastAsia="es-ES"/>
        </w:rPr>
        <w:footnoteReference w:id="2"/>
      </w:r>
      <w:r w:rsidRPr="00CE7631">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D335A6" w:rsidRPr="00D335A6" w:rsidRDefault="00EC68E3" w:rsidP="00E922BD">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eastAsia="Calibri" w:hAnsi="Palatino Linotype" w:cs="Arial"/>
          <w:color w:val="000000" w:themeColor="text1"/>
          <w:sz w:val="24"/>
          <w:szCs w:val="24"/>
          <w:lang w:val="es-ES" w:eastAsia="es-ES"/>
        </w:rPr>
        <w:t xml:space="preserve">En ese sentido es necesario referir </w:t>
      </w:r>
      <w:r w:rsidR="00D335A6">
        <w:rPr>
          <w:rFonts w:ascii="Palatino Linotype" w:eastAsia="Calibri" w:hAnsi="Palatino Linotype" w:cs="Arial"/>
          <w:color w:val="000000" w:themeColor="text1"/>
          <w:sz w:val="24"/>
          <w:szCs w:val="24"/>
          <w:lang w:val="es-ES" w:eastAsia="es-ES"/>
        </w:rPr>
        <w:t xml:space="preserve">que el derecho al acceso a datos personales es </w:t>
      </w:r>
      <w:r w:rsidR="00D335A6" w:rsidRPr="00D335A6">
        <w:rPr>
          <w:rFonts w:ascii="Palatino Linotype" w:eastAsia="Calibri" w:hAnsi="Palatino Linotype" w:cs="Arial"/>
          <w:i/>
          <w:color w:val="000000" w:themeColor="text1"/>
          <w:sz w:val="24"/>
          <w:szCs w:val="24"/>
          <w:lang w:val="es-ES" w:eastAsia="es-ES"/>
        </w:rPr>
        <w:t>aquel mediante el cual su titular tiene derecho a solicitar y ser informado sobre sus datos personales, el origen de los mismos, el tratamiento del cual sean objeto, las cesiones realizadas o que se pretendan realizar, así como a tener acceso al aviso de privacidad al que está sujeto el tratamiento.</w:t>
      </w:r>
      <w:r w:rsidR="00D335A6">
        <w:rPr>
          <w:rStyle w:val="Refdenotaalpie"/>
          <w:rFonts w:ascii="Palatino Linotype" w:eastAsia="Calibri" w:hAnsi="Palatino Linotype" w:cs="Arial"/>
          <w:i/>
          <w:color w:val="000000" w:themeColor="text1"/>
          <w:sz w:val="24"/>
          <w:szCs w:val="24"/>
          <w:lang w:val="es-ES" w:eastAsia="es-ES"/>
        </w:rPr>
        <w:footnoteReference w:id="3"/>
      </w:r>
    </w:p>
    <w:p w:rsidR="00D335A6" w:rsidRPr="00D335A6" w:rsidRDefault="00D335A6" w:rsidP="00D335A6">
      <w:pPr>
        <w:spacing w:before="240" w:after="0" w:line="360" w:lineRule="auto"/>
        <w:contextualSpacing/>
        <w:jc w:val="both"/>
        <w:rPr>
          <w:rFonts w:ascii="Palatino Linotype" w:hAnsi="Palatino Linotype" w:cs="Arial"/>
          <w:color w:val="000000" w:themeColor="text1"/>
          <w:sz w:val="24"/>
          <w:szCs w:val="24"/>
        </w:rPr>
      </w:pPr>
    </w:p>
    <w:p w:rsidR="00EC68E3" w:rsidRDefault="000B43C9"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5" w:name="_Toc536191459"/>
      <w:r>
        <w:rPr>
          <w:rFonts w:ascii="Palatino Linotype" w:eastAsiaTheme="majorEastAsia" w:hAnsi="Palatino Linotype" w:cs="Arial"/>
          <w:b/>
          <w:iCs/>
          <w:color w:val="000000" w:themeColor="text1"/>
          <w:sz w:val="24"/>
          <w:szCs w:val="24"/>
        </w:rPr>
        <w:t>Garantía primaria</w:t>
      </w:r>
      <w:r w:rsidR="00EC68E3" w:rsidRPr="00CE7631">
        <w:rPr>
          <w:rFonts w:ascii="Palatino Linotype" w:eastAsiaTheme="majorEastAsia" w:hAnsi="Palatino Linotype" w:cs="Arial"/>
          <w:b/>
          <w:iCs/>
          <w:color w:val="000000" w:themeColor="text1"/>
          <w:sz w:val="24"/>
          <w:szCs w:val="24"/>
        </w:rPr>
        <w:t>.</w:t>
      </w:r>
      <w:bookmarkEnd w:id="5"/>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5A15EC" w:rsidRPr="005A15EC" w:rsidRDefault="00EC68E3" w:rsidP="005A15EC">
      <w:pPr>
        <w:numPr>
          <w:ilvl w:val="0"/>
          <w:numId w:val="1"/>
        </w:numPr>
        <w:spacing w:before="240" w:after="0" w:line="360" w:lineRule="auto"/>
        <w:ind w:left="0" w:firstLine="0"/>
        <w:contextualSpacing/>
        <w:jc w:val="both"/>
        <w:rPr>
          <w:rFonts w:ascii="Palatino Linotype" w:hAnsi="Palatino Linotype" w:cs="Arial"/>
          <w:i/>
          <w:color w:val="000000" w:themeColor="text1"/>
          <w:sz w:val="24"/>
          <w:szCs w:val="24"/>
        </w:rPr>
      </w:pPr>
      <w:r w:rsidRPr="00D335A6">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D335A6">
        <w:rPr>
          <w:rFonts w:ascii="Palatino Linotype" w:hAnsi="Palatino Linotype" w:cs="Arial"/>
          <w:i/>
          <w:color w:val="000000" w:themeColor="text1"/>
          <w:sz w:val="24"/>
          <w:szCs w:val="24"/>
        </w:rPr>
        <w:t>las</w:t>
      </w:r>
      <w:r w:rsidRPr="00D335A6">
        <w:rPr>
          <w:rFonts w:ascii="Palatino Linotype" w:hAnsi="Palatino Linotype" w:cs="Arial"/>
          <w:color w:val="000000" w:themeColor="text1"/>
          <w:sz w:val="24"/>
          <w:szCs w:val="24"/>
        </w:rPr>
        <w:t xml:space="preserve"> </w:t>
      </w:r>
      <w:r w:rsidRPr="00D335A6">
        <w:rPr>
          <w:rFonts w:ascii="Palatino Linotype" w:hAnsi="Palatino Linotype" w:cs="Arial"/>
          <w:i/>
          <w:color w:val="000000" w:themeColor="text1"/>
          <w:sz w:val="24"/>
          <w:szCs w:val="24"/>
        </w:rPr>
        <w:t xml:space="preserve">obligaciones o </w:t>
      </w:r>
      <w:r w:rsidRPr="00D335A6">
        <w:rPr>
          <w:rFonts w:ascii="Palatino Linotype" w:hAnsi="Palatino Linotype" w:cs="Arial"/>
          <w:i/>
          <w:color w:val="000000" w:themeColor="text1"/>
          <w:sz w:val="24"/>
          <w:szCs w:val="24"/>
        </w:rPr>
        <w:lastRenderedPageBreak/>
        <w:t>prohibiciones inmediatamente correlativas a los derechos establecidos en las constituciones</w:t>
      </w:r>
      <w:r w:rsidRPr="00CE7631">
        <w:rPr>
          <w:rFonts w:ascii="Palatino Linotype" w:hAnsi="Palatino Linotype" w:cs="Arial"/>
          <w:i/>
          <w:color w:val="000000" w:themeColor="text1"/>
          <w:sz w:val="24"/>
          <w:szCs w:val="24"/>
          <w:vertAlign w:val="superscript"/>
        </w:rPr>
        <w:footnoteReference w:id="4"/>
      </w:r>
      <w:r w:rsidRPr="00D335A6">
        <w:rPr>
          <w:rFonts w:ascii="Palatino Linotype" w:hAnsi="Palatino Linotype" w:cs="Arial"/>
          <w:color w:val="000000" w:themeColor="text1"/>
          <w:sz w:val="24"/>
          <w:szCs w:val="24"/>
        </w:rPr>
        <w:t xml:space="preserve"> o bien </w:t>
      </w:r>
      <w:r w:rsidRPr="00D335A6">
        <w:rPr>
          <w:rFonts w:ascii="Palatino Linotype" w:hAnsi="Palatino Linotype" w:cs="Arial"/>
          <w:i/>
          <w:color w:val="000000" w:themeColor="text1"/>
          <w:sz w:val="24"/>
          <w:szCs w:val="24"/>
        </w:rPr>
        <w:t>como la suma de las garantías positivas y de las garantías negativas,</w:t>
      </w:r>
      <w:r w:rsidRPr="00CE7631">
        <w:rPr>
          <w:rFonts w:ascii="Palatino Linotype" w:hAnsi="Palatino Linotype" w:cs="Arial"/>
          <w:i/>
          <w:color w:val="000000" w:themeColor="text1"/>
          <w:sz w:val="24"/>
          <w:szCs w:val="24"/>
          <w:vertAlign w:val="superscript"/>
        </w:rPr>
        <w:footnoteReference w:id="5"/>
      </w:r>
      <w:r w:rsidRPr="00D335A6">
        <w:rPr>
          <w:rFonts w:ascii="Palatino Linotype" w:hAnsi="Palatino Linotype" w:cs="Arial"/>
          <w:color w:val="000000" w:themeColor="text1"/>
          <w:sz w:val="24"/>
          <w:szCs w:val="24"/>
        </w:rPr>
        <w:t xml:space="preserve"> lo que en materia de acceso </w:t>
      </w:r>
      <w:r w:rsidR="00D335A6" w:rsidRPr="00D335A6">
        <w:rPr>
          <w:rFonts w:ascii="Palatino Linotype" w:hAnsi="Palatino Linotype" w:cs="Arial"/>
          <w:color w:val="000000" w:themeColor="text1"/>
          <w:sz w:val="24"/>
          <w:szCs w:val="24"/>
        </w:rPr>
        <w:t>a datos personales</w:t>
      </w:r>
      <w:r w:rsidR="00D335A6">
        <w:rPr>
          <w:rFonts w:ascii="Palatino Linotype" w:hAnsi="Palatino Linotype" w:cs="Arial"/>
          <w:color w:val="000000" w:themeColor="text1"/>
          <w:sz w:val="24"/>
          <w:szCs w:val="24"/>
        </w:rPr>
        <w:t xml:space="preserve"> es que </w:t>
      </w:r>
      <w:r w:rsidR="005A15EC">
        <w:rPr>
          <w:rFonts w:ascii="Palatino Linotype" w:hAnsi="Palatino Linotype" w:cs="Arial"/>
          <w:color w:val="000000" w:themeColor="text1"/>
          <w:sz w:val="24"/>
          <w:szCs w:val="24"/>
        </w:rPr>
        <w:t>e</w:t>
      </w:r>
      <w:r w:rsidR="005A15EC" w:rsidRPr="005A15EC">
        <w:rPr>
          <w:rFonts w:ascii="Palatino Linotype" w:hAnsi="Palatino Linotype" w:cs="Arial"/>
          <w:i/>
          <w:szCs w:val="18"/>
        </w:rPr>
        <w:t>l titular tiene derecho a acceder, solicitar y ser informado sobre sus datos personales en posesión de los</w:t>
      </w:r>
      <w:r w:rsidR="005A15EC" w:rsidRPr="005A15EC">
        <w:rPr>
          <w:rFonts w:ascii="Palatino Linotype" w:hAnsi="Palatino Linotype" w:cs="Arial"/>
          <w:i/>
          <w:szCs w:val="18"/>
        </w:rPr>
        <w:t xml:space="preserve"> </w:t>
      </w:r>
      <w:r w:rsidR="005A15EC" w:rsidRPr="005A15EC">
        <w:rPr>
          <w:rFonts w:ascii="Palatino Linotype" w:hAnsi="Palatino Linotype" w:cs="Arial"/>
          <w:i/>
          <w:szCs w:val="18"/>
        </w:rPr>
        <w:t>sujetos obligados, así como la información relacionada con las condiciones y generalidades de su tratamiento, tales como el</w:t>
      </w:r>
      <w:r w:rsidR="005A15EC" w:rsidRPr="005A15EC">
        <w:rPr>
          <w:rFonts w:ascii="Palatino Linotype" w:hAnsi="Palatino Linotype" w:cs="Arial"/>
          <w:i/>
          <w:szCs w:val="18"/>
        </w:rPr>
        <w:t xml:space="preserve"> </w:t>
      </w:r>
      <w:r w:rsidR="005A15EC" w:rsidRPr="005A15EC">
        <w:rPr>
          <w:rFonts w:ascii="Palatino Linotype" w:hAnsi="Palatino Linotype" w:cs="Arial"/>
          <w:i/>
          <w:szCs w:val="18"/>
        </w:rPr>
        <w:t>origen de los datos, las condiciones del tratamiento del cual sean objeto, las cesiones realizadas o que se pretendan</w:t>
      </w:r>
      <w:r w:rsidR="005A15EC" w:rsidRPr="005A15EC">
        <w:rPr>
          <w:rFonts w:ascii="Palatino Linotype" w:hAnsi="Palatino Linotype" w:cs="Arial"/>
          <w:i/>
          <w:szCs w:val="18"/>
        </w:rPr>
        <w:t xml:space="preserve"> </w:t>
      </w:r>
      <w:r w:rsidR="005A15EC" w:rsidRPr="005A15EC">
        <w:rPr>
          <w:rFonts w:ascii="Palatino Linotype" w:hAnsi="Palatino Linotype" w:cs="Arial"/>
          <w:i/>
          <w:szCs w:val="18"/>
        </w:rPr>
        <w:t>realizar, así como tener acceso al aviso de privacidad al que está sujeto el tratamiento y a cualquier otra generalidad del</w:t>
      </w:r>
      <w:r w:rsidR="005A15EC" w:rsidRPr="005A15EC">
        <w:rPr>
          <w:rFonts w:ascii="Palatino Linotype" w:hAnsi="Palatino Linotype" w:cs="Arial"/>
          <w:i/>
          <w:szCs w:val="18"/>
        </w:rPr>
        <w:t xml:space="preserve"> </w:t>
      </w:r>
      <w:r w:rsidR="005A15EC" w:rsidRPr="005A15EC">
        <w:rPr>
          <w:rFonts w:ascii="Palatino Linotype" w:hAnsi="Palatino Linotype" w:cs="Arial"/>
          <w:i/>
          <w:szCs w:val="18"/>
        </w:rPr>
        <w:t>tratamiento, en los términos previstos en la Ley.</w:t>
      </w:r>
    </w:p>
    <w:p w:rsidR="005A15EC" w:rsidRPr="005A15EC" w:rsidRDefault="005A15EC" w:rsidP="005A15EC">
      <w:pPr>
        <w:autoSpaceDE w:val="0"/>
        <w:autoSpaceDN w:val="0"/>
        <w:adjustRightInd w:val="0"/>
        <w:spacing w:after="0" w:line="240" w:lineRule="auto"/>
        <w:jc w:val="both"/>
        <w:rPr>
          <w:rFonts w:ascii="Palatino Linotype" w:hAnsi="Palatino Linotype" w:cs="Arial"/>
          <w:i/>
          <w:szCs w:val="18"/>
        </w:rPr>
      </w:pPr>
    </w:p>
    <w:p w:rsidR="005A15EC" w:rsidRPr="005A15EC" w:rsidRDefault="00EC68E3" w:rsidP="005A15EC">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Por lo tanto, cuando </w:t>
      </w:r>
      <w:r w:rsidRPr="00CE7631">
        <w:rPr>
          <w:rFonts w:ascii="Palatino Linotype" w:hAnsi="Palatino Linotype" w:cs="Arial"/>
          <w:b/>
          <w:color w:val="000000" w:themeColor="text1"/>
          <w:sz w:val="24"/>
          <w:szCs w:val="24"/>
        </w:rPr>
        <w:t>el particular</w:t>
      </w:r>
      <w:r w:rsidRPr="00CE7631">
        <w:rPr>
          <w:rFonts w:ascii="Palatino Linotype" w:hAnsi="Palatino Linotype" w:cs="Arial"/>
          <w:color w:val="000000" w:themeColor="text1"/>
          <w:sz w:val="24"/>
          <w:szCs w:val="24"/>
        </w:rPr>
        <w:t xml:space="preserve">, presentó la solicitud de acceso a </w:t>
      </w:r>
      <w:r w:rsidR="005A15EC">
        <w:rPr>
          <w:rFonts w:ascii="Palatino Linotype" w:hAnsi="Palatino Linotype" w:cs="Arial"/>
          <w:color w:val="000000" w:themeColor="text1"/>
          <w:sz w:val="24"/>
          <w:szCs w:val="24"/>
        </w:rPr>
        <w:t>datos personales</w:t>
      </w:r>
      <w:r w:rsidRPr="00CE7631">
        <w:rPr>
          <w:rFonts w:ascii="Palatino Linotype" w:hAnsi="Palatino Linotype" w:cs="Arial"/>
          <w:color w:val="000000" w:themeColor="text1"/>
          <w:sz w:val="24"/>
          <w:szCs w:val="24"/>
        </w:rPr>
        <w:t xml:space="preserve"> </w:t>
      </w:r>
      <w:r w:rsidR="005A15EC">
        <w:rPr>
          <w:rFonts w:ascii="Palatino Linotype" w:hAnsi="Palatino Linotype" w:cs="Arial"/>
          <w:color w:val="000000" w:themeColor="text1"/>
          <w:sz w:val="24"/>
          <w:szCs w:val="24"/>
        </w:rPr>
        <w:t>ante el Responsable</w:t>
      </w:r>
      <w:r w:rsidRPr="00CE7631">
        <w:rPr>
          <w:rFonts w:ascii="Palatino Linotype" w:hAnsi="Palatino Linotype" w:cs="Arial"/>
          <w:color w:val="000000" w:themeColor="text1"/>
          <w:sz w:val="24"/>
          <w:szCs w:val="24"/>
        </w:rPr>
        <w:t>, ejerció el derecho en cuestión a través de su garantía primaria depositada en la autoridad quien, por mandato categórico del tercer párrafo del artículo primero de la Constitución Federal</w:t>
      </w:r>
      <w:r w:rsidRPr="00CE7631">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E7631">
        <w:rPr>
          <w:rFonts w:ascii="Palatino Linotype" w:eastAsia="Calibri" w:hAnsi="Palatino Linotype" w:cs="Arial"/>
          <w:b/>
          <w:color w:val="000000" w:themeColor="text1"/>
          <w:sz w:val="24"/>
          <w:szCs w:val="24"/>
          <w:lang w:val="es-ES" w:eastAsia="es-ES"/>
        </w:rPr>
        <w:t>“promover, respetar, proteger y garantizar los derechos humanos</w:t>
      </w:r>
      <w:r w:rsidRPr="00CE7631">
        <w:rPr>
          <w:rFonts w:ascii="Palatino Linotype" w:eastAsia="Calibri" w:hAnsi="Palatino Linotype" w:cs="Arial"/>
          <w:color w:val="000000" w:themeColor="text1"/>
          <w:sz w:val="24"/>
          <w:szCs w:val="24"/>
          <w:lang w:val="es-ES" w:eastAsia="es-ES"/>
        </w:rPr>
        <w:t xml:space="preserve">”, entre los cuales se encuentra el </w:t>
      </w:r>
      <w:r w:rsidR="005A15EC">
        <w:rPr>
          <w:rFonts w:ascii="Palatino Linotype" w:eastAsia="Calibri" w:hAnsi="Palatino Linotype" w:cs="Arial"/>
          <w:color w:val="000000" w:themeColor="text1"/>
          <w:sz w:val="24"/>
          <w:szCs w:val="24"/>
          <w:lang w:val="es-ES" w:eastAsia="es-ES"/>
        </w:rPr>
        <w:t>otorgar acceso.</w:t>
      </w:r>
    </w:p>
    <w:p w:rsidR="005A15EC" w:rsidRDefault="005A15EC" w:rsidP="005A15EC">
      <w:pPr>
        <w:pStyle w:val="Prrafodelista"/>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La garantía primaria, en la que se constituye la solicitud</w:t>
      </w:r>
      <w:r w:rsidR="005A15EC">
        <w:rPr>
          <w:rFonts w:ascii="Palatino Linotype" w:hAnsi="Palatino Linotype" w:cs="Arial"/>
          <w:color w:val="000000" w:themeColor="text1"/>
          <w:sz w:val="24"/>
          <w:szCs w:val="24"/>
        </w:rPr>
        <w:t>,</w:t>
      </w:r>
      <w:r w:rsidRPr="00CE7631">
        <w:rPr>
          <w:rFonts w:ascii="Palatino Linotype" w:hAnsi="Palatino Linotype" w:cs="Arial"/>
          <w:color w:val="000000" w:themeColor="text1"/>
          <w:sz w:val="24"/>
          <w:szCs w:val="24"/>
        </w:rPr>
        <w:t xml:space="preserve"> impone a la autoridad la obligación de atender la solicitud en los términos requeridos, obviamente, como el resto de los derechos, ninguno es absoluto y es posible </w:t>
      </w:r>
      <w:r w:rsidRPr="00CE7631">
        <w:rPr>
          <w:rFonts w:ascii="Palatino Linotype" w:hAnsi="Palatino Linotype" w:cs="Arial"/>
          <w:color w:val="000000" w:themeColor="text1"/>
          <w:sz w:val="24"/>
          <w:szCs w:val="24"/>
        </w:rPr>
        <w:lastRenderedPageBreak/>
        <w:t xml:space="preserve">limitarlos y restringirlos, siguiendo el procedimiento que para tal efecto se encuentra establecido, sin embargo, en el caso que se resuelve, </w:t>
      </w:r>
      <w:r w:rsidRPr="00CE7631">
        <w:rPr>
          <w:rFonts w:ascii="Palatino Linotype" w:hAnsi="Palatino Linotype" w:cs="Arial"/>
          <w:b/>
          <w:color w:val="000000" w:themeColor="text1"/>
          <w:sz w:val="24"/>
          <w:szCs w:val="24"/>
        </w:rPr>
        <w:t>el recurrente</w:t>
      </w:r>
      <w:r w:rsidR="00476367">
        <w:rPr>
          <w:rFonts w:ascii="Palatino Linotype" w:hAnsi="Palatino Linotype" w:cs="Arial"/>
          <w:color w:val="000000" w:themeColor="text1"/>
          <w:sz w:val="24"/>
          <w:szCs w:val="24"/>
        </w:rPr>
        <w:t xml:space="preserve"> señaló Copias Certificadas</w:t>
      </w:r>
      <w:r w:rsidRPr="00CE7631">
        <w:rPr>
          <w:rFonts w:ascii="Palatino Linotype" w:hAnsi="Palatino Linotype" w:cs="Arial"/>
          <w:color w:val="000000" w:themeColor="text1"/>
          <w:sz w:val="24"/>
          <w:szCs w:val="24"/>
        </w:rPr>
        <w:t xml:space="preserve"> (con costo) la forma en la que requiere acceder a la información solicitada, según lo establece el artículo </w:t>
      </w:r>
      <w:r w:rsidR="005A15EC">
        <w:rPr>
          <w:rFonts w:ascii="Palatino Linotype" w:hAnsi="Palatino Linotype" w:cs="Arial"/>
          <w:color w:val="000000" w:themeColor="text1"/>
          <w:sz w:val="24"/>
          <w:szCs w:val="24"/>
        </w:rPr>
        <w:t>110 penúltimo párrafo de la Ley de Protección de Datos Personales en Posesión de los Sujetos Obligados del Estado de México y Municipios</w:t>
      </w:r>
      <w:r w:rsidRPr="00CE7631">
        <w:rPr>
          <w:rFonts w:ascii="Palatino Linotype" w:hAnsi="Palatino Linotype" w:cs="Arial"/>
          <w:color w:val="000000" w:themeColor="text1"/>
          <w:sz w:val="24"/>
          <w:szCs w:val="24"/>
        </w:rPr>
        <w:t>, y en estricto sentido, la persona que desea acceder a la información, al elegir una modalidad de e</w:t>
      </w:r>
      <w:r w:rsidR="00523DD8">
        <w:rPr>
          <w:rFonts w:ascii="Palatino Linotype" w:hAnsi="Palatino Linotype" w:cs="Arial"/>
          <w:color w:val="000000" w:themeColor="text1"/>
          <w:sz w:val="24"/>
          <w:szCs w:val="24"/>
        </w:rPr>
        <w:t>ntrega que genere un costo como se advierte en el presente caso</w:t>
      </w:r>
      <w:r w:rsidRPr="00CE7631">
        <w:rPr>
          <w:rFonts w:ascii="Palatino Linotype" w:hAnsi="Palatino Linotype" w:cs="Arial"/>
          <w:color w:val="000000" w:themeColor="text1"/>
          <w:sz w:val="24"/>
          <w:szCs w:val="24"/>
        </w:rPr>
        <w:t xml:space="preserve">, deberá cubrir el mismo, para que le sea entregada la información que requiere, sin embargo, el </w:t>
      </w:r>
      <w:r w:rsidRPr="00CE7631">
        <w:rPr>
          <w:rFonts w:ascii="Palatino Linotype" w:hAnsi="Palatino Linotype" w:cs="Arial"/>
          <w:b/>
          <w:color w:val="000000" w:themeColor="text1"/>
          <w:sz w:val="24"/>
          <w:szCs w:val="24"/>
        </w:rPr>
        <w:t>Sujeto Obligado</w:t>
      </w:r>
      <w:r w:rsidRPr="00CE7631">
        <w:rPr>
          <w:rFonts w:ascii="Palatino Linotype" w:hAnsi="Palatino Linotype" w:cs="Arial"/>
          <w:color w:val="000000" w:themeColor="text1"/>
          <w:sz w:val="24"/>
          <w:szCs w:val="24"/>
        </w:rPr>
        <w:t xml:space="preserve">, al </w:t>
      </w:r>
      <w:r w:rsidR="005A15EC">
        <w:rPr>
          <w:rFonts w:ascii="Palatino Linotype" w:hAnsi="Palatino Linotype" w:cs="Arial"/>
          <w:color w:val="000000" w:themeColor="text1"/>
          <w:sz w:val="24"/>
          <w:szCs w:val="24"/>
        </w:rPr>
        <w:t>ser omiso en atender la solicitud en la modalidad requerida</w:t>
      </w:r>
      <w:r w:rsidRPr="00CE7631">
        <w:rPr>
          <w:rFonts w:ascii="Palatino Linotype" w:hAnsi="Palatino Linotype" w:cs="Arial"/>
          <w:color w:val="000000" w:themeColor="text1"/>
          <w:sz w:val="24"/>
          <w:szCs w:val="24"/>
        </w:rPr>
        <w:t xml:space="preserve"> muestra un comportamiento negligente provocando una afectación a este derecho, entonces al demostrar que el documento efectivamente existe y se encuentra en su posesión, para reparar la afectación provocada es responsable de cubrir los</w:t>
      </w:r>
      <w:r w:rsidR="005A15EC">
        <w:rPr>
          <w:rFonts w:ascii="Palatino Linotype" w:hAnsi="Palatino Linotype" w:cs="Arial"/>
          <w:color w:val="000000" w:themeColor="text1"/>
          <w:sz w:val="24"/>
          <w:szCs w:val="24"/>
        </w:rPr>
        <w:t xml:space="preserve"> costos de reproducción y envío, conforme a la Ley de Transparencia y Acceso a la Información Pública del Estado de México y Municipios</w:t>
      </w:r>
      <w:r w:rsidR="000B43C9">
        <w:rPr>
          <w:rFonts w:ascii="Palatino Linotype" w:hAnsi="Palatino Linotype" w:cs="Arial"/>
          <w:color w:val="000000" w:themeColor="text1"/>
          <w:sz w:val="24"/>
          <w:szCs w:val="24"/>
        </w:rPr>
        <w:t xml:space="preserve"> de aplicación supletoria</w:t>
      </w:r>
      <w:r w:rsidR="005A15EC">
        <w:rPr>
          <w:rFonts w:ascii="Palatino Linotype" w:hAnsi="Palatino Linotype" w:cs="Arial"/>
          <w:color w:val="000000" w:themeColor="text1"/>
          <w:sz w:val="24"/>
          <w:szCs w:val="24"/>
        </w:rPr>
        <w:t>, toda vez que los procedimientos de acceso a la información y protección de datos personales se rigen bajo el principio de gratuidad.</w:t>
      </w:r>
    </w:p>
    <w:p w:rsidR="00EC68E3" w:rsidRPr="00CE7631" w:rsidRDefault="00EC68E3" w:rsidP="00E922BD">
      <w:pPr>
        <w:pStyle w:val="Prrafodelista"/>
        <w:spacing w:line="360" w:lineRule="auto"/>
        <w:ind w:left="0"/>
        <w:rPr>
          <w:rFonts w:ascii="Palatino Linotype" w:hAnsi="Palatino Linotype" w:cs="Arial"/>
          <w:color w:val="000000" w:themeColor="text1"/>
          <w:sz w:val="24"/>
          <w:szCs w:val="24"/>
        </w:rPr>
      </w:pPr>
    </w:p>
    <w:p w:rsidR="00EC68E3" w:rsidRPr="00CE7631" w:rsidRDefault="004E38BF"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sz w:val="24"/>
          <w:szCs w:val="24"/>
        </w:rPr>
        <w:t xml:space="preserve">En los casos que los particulares soliciten la información en un </w:t>
      </w:r>
      <w:r w:rsidR="00B71899" w:rsidRPr="00CE7631">
        <w:rPr>
          <w:rFonts w:ascii="Palatino Linotype" w:hAnsi="Palatino Linotype"/>
          <w:sz w:val="24"/>
          <w:szCs w:val="24"/>
        </w:rPr>
        <w:t>m</w:t>
      </w:r>
      <w:r w:rsidRPr="00CE7631">
        <w:rPr>
          <w:rFonts w:ascii="Palatino Linotype" w:hAnsi="Palatino Linotype"/>
          <w:sz w:val="24"/>
          <w:szCs w:val="24"/>
        </w:rPr>
        <w:t>edio que genere algún costo, para tener acceso a dicha información deberán cubrir previamente el monto establecido por la normatividad aplicable;</w:t>
      </w:r>
      <w:r w:rsidR="00EC68E3" w:rsidRPr="00CE7631">
        <w:rPr>
          <w:rFonts w:ascii="Palatino Linotype" w:hAnsi="Palatino Linotype"/>
          <w:sz w:val="24"/>
          <w:szCs w:val="24"/>
        </w:rPr>
        <w:t xml:space="preserve"> siempre y cuando el Sujeto Obligado en cumplimiento de sus obligaciones respete, promueva y </w:t>
      </w:r>
      <w:r w:rsidR="00EC68E3" w:rsidRPr="00CE7631">
        <w:rPr>
          <w:rFonts w:ascii="Palatino Linotype" w:hAnsi="Palatino Linotype"/>
          <w:sz w:val="24"/>
          <w:szCs w:val="24"/>
        </w:rPr>
        <w:lastRenderedPageBreak/>
        <w:t xml:space="preserve">garantice el derecho de acceso </w:t>
      </w:r>
      <w:r w:rsidR="000B43C9">
        <w:rPr>
          <w:rFonts w:ascii="Palatino Linotype" w:hAnsi="Palatino Linotype"/>
          <w:sz w:val="24"/>
          <w:szCs w:val="24"/>
        </w:rPr>
        <w:t xml:space="preserve">a datos </w:t>
      </w:r>
      <w:proofErr w:type="spellStart"/>
      <w:r w:rsidR="000B43C9">
        <w:rPr>
          <w:rFonts w:ascii="Palatino Linotype" w:hAnsi="Palatino Linotype"/>
          <w:sz w:val="24"/>
          <w:szCs w:val="24"/>
        </w:rPr>
        <w:t>persoanles</w:t>
      </w:r>
      <w:proofErr w:type="spellEnd"/>
      <w:r w:rsidR="00EC68E3" w:rsidRPr="00CE7631">
        <w:rPr>
          <w:rFonts w:ascii="Palatino Linotype" w:hAnsi="Palatino Linotype"/>
          <w:sz w:val="24"/>
          <w:szCs w:val="24"/>
        </w:rPr>
        <w:t>, lo que desafortunadamente en el presente caso no sucedió.</w:t>
      </w:r>
    </w:p>
    <w:p w:rsidR="00EC68E3" w:rsidRPr="00CE7631" w:rsidRDefault="00EC68E3" w:rsidP="00E922BD">
      <w:pPr>
        <w:keepNext/>
        <w:keepLines/>
        <w:spacing w:before="40" w:after="0" w:line="360" w:lineRule="auto"/>
        <w:contextualSpacing/>
        <w:jc w:val="both"/>
        <w:outlineLvl w:val="1"/>
        <w:rPr>
          <w:rFonts w:ascii="Palatino Linotype" w:eastAsiaTheme="majorEastAsia" w:hAnsi="Palatino Linotype" w:cs="Arial"/>
          <w:color w:val="2E74B5" w:themeColor="accent1" w:themeShade="BF"/>
          <w:sz w:val="24"/>
          <w:szCs w:val="24"/>
        </w:rPr>
      </w:pPr>
    </w:p>
    <w:p w:rsidR="00EC68E3" w:rsidRDefault="00EC68E3"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6" w:name="_Toc536191460"/>
      <w:r w:rsidRPr="00CE7631">
        <w:rPr>
          <w:rFonts w:ascii="Palatino Linotype" w:eastAsiaTheme="majorEastAsia" w:hAnsi="Palatino Linotype" w:cs="Arial"/>
          <w:b/>
          <w:iCs/>
          <w:color w:val="000000" w:themeColor="text1"/>
          <w:sz w:val="24"/>
          <w:szCs w:val="24"/>
        </w:rPr>
        <w:t>La garantía secundaria.</w:t>
      </w:r>
      <w:bookmarkEnd w:id="6"/>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CE7631">
        <w:rPr>
          <w:rFonts w:ascii="Palatino Linotype" w:hAnsi="Palatino Linotype" w:cs="Arial"/>
          <w:i/>
          <w:color w:val="000000" w:themeColor="text1"/>
          <w:sz w:val="24"/>
          <w:szCs w:val="24"/>
        </w:rPr>
        <w:t>investigar, sancionar y reparar</w:t>
      </w:r>
      <w:r w:rsidRPr="00CE7631">
        <w:rPr>
          <w:rFonts w:ascii="Palatino Linotype" w:hAnsi="Palatino Linotype" w:cs="Arial"/>
          <w:color w:val="000000" w:themeColor="text1"/>
          <w:sz w:val="24"/>
          <w:szCs w:val="24"/>
        </w:rPr>
        <w:t xml:space="preserve"> sus violaciones. </w:t>
      </w:r>
    </w:p>
    <w:p w:rsidR="001A103E" w:rsidRPr="00CE7631" w:rsidRDefault="001A103E" w:rsidP="00E922BD">
      <w:pPr>
        <w:spacing w:after="0" w:line="360" w:lineRule="auto"/>
        <w:contextualSpacing/>
        <w:jc w:val="both"/>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Las propias obligaciones internacionales adquiridas por el Estado Mexicano  determinan que nuestro país cuente con un procedimiento sencillo, rápido y  efectivo</w:t>
      </w:r>
      <w:r w:rsidRPr="00CE7631">
        <w:rPr>
          <w:rFonts w:ascii="Palatino Linotype" w:hAnsi="Palatino Linotype" w:cs="Arial"/>
          <w:color w:val="000000" w:themeColor="text1"/>
          <w:sz w:val="24"/>
          <w:szCs w:val="24"/>
          <w:vertAlign w:val="superscript"/>
        </w:rPr>
        <w:footnoteReference w:id="6"/>
      </w:r>
      <w:r w:rsidRPr="00CE7631">
        <w:rPr>
          <w:rFonts w:ascii="Palatino Linotype" w:hAnsi="Palatino Linotype" w:cs="Arial"/>
          <w:color w:val="000000" w:themeColor="text1"/>
          <w:sz w:val="24"/>
          <w:szCs w:val="24"/>
        </w:rPr>
        <w:t xml:space="preserve"> para la protección del derecho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CE7631">
        <w:rPr>
          <w:rFonts w:ascii="Palatino Linotype" w:hAnsi="Palatino Linotype" w:cs="Arial"/>
          <w:color w:val="000000" w:themeColor="text1"/>
          <w:sz w:val="24"/>
          <w:szCs w:val="24"/>
          <w:vertAlign w:val="superscript"/>
        </w:rPr>
        <w:footnoteReference w:id="7"/>
      </w:r>
      <w:r w:rsidRPr="00CE7631">
        <w:rPr>
          <w:rFonts w:ascii="Palatino Linotype" w:hAnsi="Palatino Linotype" w:cs="Arial"/>
          <w:color w:val="000000" w:themeColor="text1"/>
          <w:sz w:val="24"/>
          <w:szCs w:val="24"/>
        </w:rPr>
        <w:t xml:space="preserve"> </w:t>
      </w:r>
    </w:p>
    <w:p w:rsidR="00EC68E3" w:rsidRPr="00CE7631" w:rsidRDefault="00EC68E3" w:rsidP="00E922BD">
      <w:pPr>
        <w:spacing w:line="360" w:lineRule="auto"/>
        <w:contextualSpacing/>
        <w:rPr>
          <w:rFonts w:ascii="Palatino Linotype" w:hAnsi="Palatino Linotype" w:cs="Arial"/>
          <w:color w:val="000000" w:themeColor="text1"/>
          <w:sz w:val="24"/>
          <w:szCs w:val="24"/>
        </w:rPr>
      </w:pPr>
    </w:p>
    <w:p w:rsidR="005A15EC"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Lo que fue entendido por el legislador ordinario mexiquense quien a través del artículo </w:t>
      </w:r>
      <w:r w:rsidR="005A15EC">
        <w:rPr>
          <w:rFonts w:ascii="Palatino Linotype" w:hAnsi="Palatino Linotype" w:cs="Arial"/>
          <w:color w:val="000000" w:themeColor="text1"/>
          <w:sz w:val="24"/>
          <w:szCs w:val="24"/>
        </w:rPr>
        <w:t>119</w:t>
      </w:r>
      <w:r w:rsidRPr="00CE7631">
        <w:rPr>
          <w:rFonts w:ascii="Palatino Linotype" w:hAnsi="Palatino Linotype" w:cs="Arial"/>
          <w:color w:val="000000" w:themeColor="text1"/>
          <w:sz w:val="24"/>
          <w:szCs w:val="24"/>
        </w:rPr>
        <w:t xml:space="preserve"> de la ley estatal de </w:t>
      </w:r>
      <w:r w:rsidR="005A15EC">
        <w:rPr>
          <w:rFonts w:ascii="Palatino Linotype" w:hAnsi="Palatino Linotype" w:cs="Arial"/>
          <w:color w:val="000000" w:themeColor="text1"/>
          <w:sz w:val="24"/>
          <w:szCs w:val="24"/>
        </w:rPr>
        <w:t>Protección de Datos Personales</w:t>
      </w:r>
      <w:r w:rsidRPr="00CE7631">
        <w:rPr>
          <w:rFonts w:ascii="Palatino Linotype" w:hAnsi="Palatino Linotype" w:cs="Arial"/>
          <w:color w:val="000000" w:themeColor="text1"/>
          <w:sz w:val="24"/>
          <w:szCs w:val="24"/>
        </w:rPr>
        <w:t xml:space="preserve"> citad</w:t>
      </w:r>
      <w:r w:rsidR="005A15EC">
        <w:rPr>
          <w:rFonts w:ascii="Palatino Linotype" w:hAnsi="Palatino Linotype" w:cs="Arial"/>
          <w:color w:val="000000" w:themeColor="text1"/>
          <w:sz w:val="24"/>
          <w:szCs w:val="24"/>
        </w:rPr>
        <w:t>a previamente, ha señalado que e</w:t>
      </w:r>
      <w:r w:rsidR="005A15EC" w:rsidRPr="005A15EC">
        <w:rPr>
          <w:rFonts w:ascii="Palatino Linotype" w:hAnsi="Palatino Linotype" w:cs="Arial"/>
          <w:i/>
          <w:color w:val="000000" w:themeColor="text1"/>
          <w:szCs w:val="24"/>
        </w:rPr>
        <w:t>l titular o su representante podrán interponer un recurso de revisión ante el Instituto o bien, ante la Unidad de Transparencia del responsable que haya conocido de la solicitud.</w:t>
      </w:r>
    </w:p>
    <w:p w:rsidR="00EC68E3" w:rsidRPr="00CE7631" w:rsidRDefault="00EC68E3" w:rsidP="00E922BD">
      <w:pPr>
        <w:spacing w:line="360" w:lineRule="auto"/>
        <w:contextualSpacing/>
        <w:rPr>
          <w:rFonts w:ascii="Palatino Linotype" w:hAnsi="Palatino Linotype" w:cs="Arial"/>
          <w:color w:val="000000" w:themeColor="text1"/>
          <w:sz w:val="24"/>
          <w:szCs w:val="24"/>
        </w:rPr>
      </w:pPr>
    </w:p>
    <w:p w:rsidR="00EC68E3" w:rsidRDefault="009F5304"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b/>
          <w:color w:val="000000" w:themeColor="text1"/>
          <w:sz w:val="24"/>
          <w:szCs w:val="24"/>
        </w:rPr>
        <w:t>E</w:t>
      </w:r>
      <w:r w:rsidR="00EC68E3" w:rsidRPr="00CE7631">
        <w:rPr>
          <w:rFonts w:ascii="Palatino Linotype" w:hAnsi="Palatino Linotype" w:cs="Arial"/>
          <w:b/>
          <w:color w:val="000000" w:themeColor="text1"/>
          <w:sz w:val="24"/>
          <w:szCs w:val="24"/>
        </w:rPr>
        <w:t>l motivo de inconformidad consiste en que</w:t>
      </w:r>
      <w:r w:rsidR="004E0530" w:rsidRPr="00CE7631">
        <w:rPr>
          <w:rFonts w:ascii="Palatino Linotype" w:hAnsi="Palatino Linotype" w:cs="Arial"/>
          <w:b/>
          <w:color w:val="000000" w:themeColor="text1"/>
          <w:sz w:val="24"/>
          <w:szCs w:val="24"/>
        </w:rPr>
        <w:t xml:space="preserve"> el Sujeto Obligado </w:t>
      </w:r>
      <w:r>
        <w:rPr>
          <w:rFonts w:ascii="Palatino Linotype" w:hAnsi="Palatino Linotype" w:cs="Arial"/>
          <w:b/>
          <w:color w:val="000000" w:themeColor="text1"/>
          <w:sz w:val="24"/>
          <w:szCs w:val="24"/>
        </w:rPr>
        <w:t>no entregó la información mediante la modalidad solicitada,</w:t>
      </w:r>
      <w:r w:rsidR="001A103E" w:rsidRPr="00CE7631">
        <w:rPr>
          <w:rFonts w:ascii="Palatino Linotype" w:hAnsi="Palatino Linotype" w:cs="Arial"/>
          <w:b/>
          <w:color w:val="000000" w:themeColor="text1"/>
          <w:sz w:val="24"/>
          <w:szCs w:val="24"/>
        </w:rPr>
        <w:t xml:space="preserve"> </w:t>
      </w:r>
      <w:r w:rsidR="00EC68E3" w:rsidRPr="00CE7631">
        <w:rPr>
          <w:rFonts w:ascii="Palatino Linotype" w:hAnsi="Palatino Linotype" w:cs="Arial"/>
          <w:color w:val="000000" w:themeColor="text1"/>
          <w:sz w:val="24"/>
          <w:szCs w:val="24"/>
        </w:rPr>
        <w:t xml:space="preserve">mostrando así una negligencia por parte de la autoridad, </w:t>
      </w:r>
      <w:r w:rsidR="001A103E" w:rsidRPr="00CE7631">
        <w:rPr>
          <w:rFonts w:ascii="Palatino Linotype" w:hAnsi="Palatino Linotype" w:cs="Arial"/>
          <w:color w:val="000000" w:themeColor="text1"/>
          <w:sz w:val="24"/>
          <w:szCs w:val="24"/>
        </w:rPr>
        <w:t xml:space="preserve"> situación que recae en lo</w:t>
      </w:r>
      <w:r>
        <w:rPr>
          <w:rFonts w:ascii="Palatino Linotype" w:hAnsi="Palatino Linotype" w:cs="Arial"/>
          <w:color w:val="000000" w:themeColor="text1"/>
          <w:sz w:val="24"/>
          <w:szCs w:val="24"/>
        </w:rPr>
        <w:t xml:space="preserve"> estipulado por el artículo 234 de la ley supletoria </w:t>
      </w:r>
      <w:r w:rsidR="00EC68E3" w:rsidRPr="00CE7631">
        <w:rPr>
          <w:rFonts w:ascii="Palatino Linotype" w:hAnsi="Palatino Linotype" w:cs="Arial"/>
          <w:color w:val="000000" w:themeColor="text1"/>
          <w:sz w:val="24"/>
          <w:szCs w:val="24"/>
        </w:rPr>
        <w:t>es plenamente fundado, constituye una afectación indebida e injustificada a su derecho y la respuesta del Sujeto Obligado, constituyó una violación a su derecho que el Estado Mexicano, a través de otra institución, en este caso, este Pleno, pretende reparar a través de la resolución que acomp</w:t>
      </w:r>
      <w:r w:rsidR="00476367">
        <w:rPr>
          <w:rFonts w:ascii="Palatino Linotype" w:hAnsi="Palatino Linotype" w:cs="Arial"/>
          <w:color w:val="000000" w:themeColor="text1"/>
          <w:sz w:val="24"/>
          <w:szCs w:val="24"/>
        </w:rPr>
        <w:t>añamos</w:t>
      </w:r>
      <w:r w:rsidR="00EC68E3" w:rsidRPr="00CE7631">
        <w:rPr>
          <w:rFonts w:ascii="Palatino Linotype" w:hAnsi="Palatino Linotype" w:cs="Arial"/>
          <w:color w:val="000000" w:themeColor="text1"/>
          <w:sz w:val="24"/>
          <w:szCs w:val="24"/>
        </w:rPr>
        <w:t xml:space="preserve"> con el presente voto particular, mediante la cual se ordena la entr</w:t>
      </w:r>
      <w:r w:rsidR="004E0530" w:rsidRPr="00CE7631">
        <w:rPr>
          <w:rFonts w:ascii="Palatino Linotype" w:hAnsi="Palatino Linotype" w:cs="Arial"/>
          <w:color w:val="000000" w:themeColor="text1"/>
          <w:sz w:val="24"/>
          <w:szCs w:val="24"/>
        </w:rPr>
        <w:t>ega de la información en Copias Certificadas</w:t>
      </w:r>
      <w:r w:rsidR="001A103E" w:rsidRPr="00CE7631">
        <w:rPr>
          <w:rFonts w:ascii="Palatino Linotype" w:hAnsi="Palatino Linotype" w:cs="Arial"/>
          <w:color w:val="000000" w:themeColor="text1"/>
          <w:sz w:val="24"/>
          <w:szCs w:val="24"/>
        </w:rPr>
        <w:t xml:space="preserve"> </w:t>
      </w:r>
      <w:r w:rsidR="00EC68E3" w:rsidRPr="00CE7631">
        <w:rPr>
          <w:rFonts w:ascii="Palatino Linotype" w:hAnsi="Palatino Linotype" w:cs="Arial"/>
          <w:color w:val="000000" w:themeColor="text1"/>
          <w:sz w:val="24"/>
          <w:szCs w:val="24"/>
        </w:rPr>
        <w:t xml:space="preserve">con el previo pago de los derechos, por no existir razón alguna que lo impida. </w:t>
      </w:r>
    </w:p>
    <w:p w:rsidR="009844AE" w:rsidRPr="00E922BD" w:rsidRDefault="009844AE" w:rsidP="009844AE">
      <w:pPr>
        <w:spacing w:after="0" w:line="360" w:lineRule="auto"/>
        <w:contextualSpacing/>
        <w:jc w:val="both"/>
        <w:rPr>
          <w:rFonts w:ascii="Palatino Linotype" w:hAnsi="Palatino Linotype" w:cs="Arial"/>
          <w:color w:val="000000" w:themeColor="text1"/>
          <w:sz w:val="24"/>
          <w:szCs w:val="24"/>
        </w:rPr>
      </w:pPr>
    </w:p>
    <w:p w:rsidR="001A103E" w:rsidRDefault="00EC68E3"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7" w:name="_Toc536191461"/>
      <w:r w:rsidRPr="00CE7631">
        <w:rPr>
          <w:rFonts w:ascii="Palatino Linotype" w:eastAsiaTheme="majorEastAsia" w:hAnsi="Palatino Linotype" w:cs="Arial"/>
          <w:b/>
          <w:iCs/>
          <w:color w:val="000000" w:themeColor="text1"/>
          <w:sz w:val="24"/>
          <w:szCs w:val="24"/>
        </w:rPr>
        <w:t>Consecuencias de la violación al derecho humano.</w:t>
      </w:r>
      <w:bookmarkEnd w:id="7"/>
      <w:r w:rsidRPr="00CE7631">
        <w:rPr>
          <w:rFonts w:ascii="Palatino Linotype" w:eastAsiaTheme="majorEastAsia" w:hAnsi="Palatino Linotype" w:cs="Arial"/>
          <w:b/>
          <w:iCs/>
          <w:color w:val="000000" w:themeColor="text1"/>
          <w:sz w:val="24"/>
          <w:szCs w:val="24"/>
        </w:rPr>
        <w:t xml:space="preserve"> </w:t>
      </w:r>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El tercer párrafo del artículo primero de nuestra la Constitución Política de los Estados Unidos Mexicanos establece la obligación del Estado Mexicano de </w:t>
      </w:r>
      <w:r w:rsidRPr="00CE7631">
        <w:rPr>
          <w:rFonts w:ascii="Palatino Linotype" w:hAnsi="Palatino Linotype" w:cs="Arial"/>
          <w:i/>
          <w:color w:val="000000" w:themeColor="text1"/>
          <w:sz w:val="24"/>
          <w:szCs w:val="24"/>
        </w:rPr>
        <w:lastRenderedPageBreak/>
        <w:t xml:space="preserve">investigar, sancionar y reparar las violaciones a los derechos humanos, en los términos que establezca la ley. </w:t>
      </w:r>
      <w:r w:rsidRPr="00CE7631">
        <w:rPr>
          <w:rFonts w:ascii="Palatino Linotype" w:hAnsi="Palatino Linotype" w:cs="Arial"/>
          <w:color w:val="000000" w:themeColor="text1"/>
          <w:sz w:val="24"/>
          <w:szCs w:val="24"/>
        </w:rPr>
        <w:t xml:space="preserve">En este caso es plenamente evidente que </w:t>
      </w:r>
      <w:r w:rsidRPr="00CE7631">
        <w:rPr>
          <w:rFonts w:ascii="Palatino Linotype" w:hAnsi="Palatino Linotype" w:cs="Arial"/>
          <w:b/>
          <w:color w:val="000000" w:themeColor="text1"/>
          <w:sz w:val="24"/>
          <w:szCs w:val="24"/>
        </w:rPr>
        <w:t xml:space="preserve">el particular </w:t>
      </w:r>
      <w:r w:rsidRPr="00CE7631">
        <w:rPr>
          <w:rFonts w:ascii="Palatino Linotype" w:hAnsi="Palatino Linotype" w:cs="Arial"/>
          <w:color w:val="000000" w:themeColor="text1"/>
          <w:sz w:val="24"/>
          <w:szCs w:val="24"/>
        </w:rPr>
        <w:t>pretendió a acceder</w:t>
      </w:r>
      <w:r w:rsidR="004E0530" w:rsidRPr="00CE7631">
        <w:rPr>
          <w:rFonts w:ascii="Palatino Linotype" w:hAnsi="Palatino Linotype" w:cs="Arial"/>
          <w:color w:val="000000" w:themeColor="text1"/>
          <w:sz w:val="24"/>
          <w:szCs w:val="24"/>
        </w:rPr>
        <w:t xml:space="preserve"> a cierta información en Copias Certificadas</w:t>
      </w:r>
      <w:r w:rsidRPr="00CE7631">
        <w:rPr>
          <w:rFonts w:ascii="Palatino Linotype" w:hAnsi="Palatino Linotype" w:cs="Arial"/>
          <w:color w:val="000000" w:themeColor="text1"/>
          <w:sz w:val="24"/>
          <w:szCs w:val="24"/>
        </w:rPr>
        <w:t xml:space="preserve"> (con costo) y que la autoridad </w:t>
      </w:r>
      <w:r w:rsidR="009F5304">
        <w:rPr>
          <w:rFonts w:ascii="Palatino Linotype" w:hAnsi="Palatino Linotype" w:cs="Arial"/>
          <w:color w:val="000000" w:themeColor="text1"/>
          <w:sz w:val="24"/>
          <w:szCs w:val="24"/>
        </w:rPr>
        <w:t>fue omisa en atenderla mediante la modalidad requerida</w:t>
      </w:r>
      <w:r w:rsidR="00D71594" w:rsidRPr="00CE7631">
        <w:rPr>
          <w:rFonts w:ascii="Palatino Linotype" w:hAnsi="Palatino Linotype" w:cs="Arial"/>
          <w:color w:val="000000" w:themeColor="text1"/>
          <w:sz w:val="24"/>
          <w:szCs w:val="24"/>
        </w:rPr>
        <w:t xml:space="preserve"> </w:t>
      </w:r>
      <w:r w:rsidRPr="00CE7631">
        <w:rPr>
          <w:rFonts w:ascii="Palatino Linotype" w:hAnsi="Palatino Linotype" w:cs="Arial"/>
          <w:color w:val="000000" w:themeColor="text1"/>
          <w:sz w:val="24"/>
          <w:szCs w:val="24"/>
        </w:rPr>
        <w:t xml:space="preserve">sin ningún argumento o causa justificada, lo cual generó un agravió en la persona que acudió a la garantía secundaria para la </w:t>
      </w:r>
      <w:proofErr w:type="spellStart"/>
      <w:r w:rsidRPr="00CE7631">
        <w:rPr>
          <w:rFonts w:ascii="Palatino Linotype" w:hAnsi="Palatino Linotype" w:cs="Arial"/>
          <w:i/>
          <w:color w:val="000000" w:themeColor="text1"/>
          <w:sz w:val="24"/>
          <w:szCs w:val="24"/>
        </w:rPr>
        <w:t>restitutio</w:t>
      </w:r>
      <w:proofErr w:type="spellEnd"/>
      <w:r w:rsidRPr="00CE7631">
        <w:rPr>
          <w:rFonts w:ascii="Palatino Linotype" w:hAnsi="Palatino Linotype" w:cs="Arial"/>
          <w:i/>
          <w:color w:val="000000" w:themeColor="text1"/>
          <w:sz w:val="24"/>
          <w:szCs w:val="24"/>
        </w:rPr>
        <w:t xml:space="preserve"> in </w:t>
      </w:r>
      <w:proofErr w:type="spellStart"/>
      <w:r w:rsidRPr="00CE7631">
        <w:rPr>
          <w:rFonts w:ascii="Palatino Linotype" w:hAnsi="Palatino Linotype" w:cs="Arial"/>
          <w:i/>
          <w:color w:val="000000" w:themeColor="text1"/>
          <w:sz w:val="24"/>
          <w:szCs w:val="24"/>
        </w:rPr>
        <w:t>integrum</w:t>
      </w:r>
      <w:proofErr w:type="spellEnd"/>
      <w:r w:rsidRPr="00CE7631">
        <w:rPr>
          <w:rFonts w:ascii="Palatino Linotype" w:hAnsi="Palatino Linotype" w:cs="Arial"/>
          <w:color w:val="000000" w:themeColor="text1"/>
          <w:sz w:val="24"/>
          <w:szCs w:val="24"/>
        </w:rPr>
        <w:t xml:space="preserve"> del derecho en cuestión. Lo que este Órgano Garante pretende hacer ordenando la entrega de la información.</w:t>
      </w:r>
    </w:p>
    <w:p w:rsidR="001A103E" w:rsidRPr="00CE7631" w:rsidRDefault="001A103E" w:rsidP="00E922BD">
      <w:pPr>
        <w:spacing w:after="0" w:line="360" w:lineRule="auto"/>
        <w:ind w:left="360"/>
        <w:contextualSpacing/>
        <w:jc w:val="both"/>
        <w:rPr>
          <w:rFonts w:ascii="Palatino Linotype" w:hAnsi="Palatino Linotype" w:cs="Arial"/>
          <w:color w:val="000000" w:themeColor="text1"/>
          <w:sz w:val="24"/>
          <w:szCs w:val="24"/>
        </w:rPr>
      </w:pPr>
    </w:p>
    <w:p w:rsidR="009F5304" w:rsidRDefault="009844AE" w:rsidP="009F530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Pero debemos </w:t>
      </w:r>
      <w:r w:rsidR="00EC68E3" w:rsidRPr="00CE7631">
        <w:rPr>
          <w:rFonts w:ascii="Palatino Linotype" w:hAnsi="Palatino Linotype" w:cs="Arial"/>
          <w:color w:val="000000" w:themeColor="text1"/>
          <w:sz w:val="24"/>
          <w:szCs w:val="24"/>
        </w:rPr>
        <w:t>decir que el</w:t>
      </w:r>
      <w:r>
        <w:rPr>
          <w:rFonts w:ascii="Palatino Linotype" w:hAnsi="Palatino Linotype" w:cs="Arial"/>
          <w:color w:val="000000" w:themeColor="text1"/>
          <w:sz w:val="24"/>
          <w:szCs w:val="24"/>
        </w:rPr>
        <w:t xml:space="preserve"> presente voto particular que nos</w:t>
      </w:r>
      <w:r w:rsidR="00EC68E3" w:rsidRPr="00CE7631">
        <w:rPr>
          <w:rFonts w:ascii="Palatino Linotype" w:hAnsi="Palatino Linotype" w:cs="Arial"/>
          <w:color w:val="000000" w:themeColor="text1"/>
          <w:sz w:val="24"/>
          <w:szCs w:val="24"/>
        </w:rPr>
        <w:t xml:space="preserve"> diferencia del resto del pleno consiste en los efectos de esa violación al derecho humano. Si bien es cierto, que los derechos no son efectivos sin las garantías que permitan su p</w:t>
      </w:r>
      <w:r>
        <w:rPr>
          <w:rFonts w:ascii="Palatino Linotype" w:hAnsi="Palatino Linotype" w:cs="Arial"/>
          <w:color w:val="000000" w:themeColor="text1"/>
          <w:sz w:val="24"/>
          <w:szCs w:val="24"/>
        </w:rPr>
        <w:t>leno cumplimiento, también estamos</w:t>
      </w:r>
      <w:r w:rsidR="00EC68E3" w:rsidRPr="00CE7631">
        <w:rPr>
          <w:rFonts w:ascii="Palatino Linotype" w:hAnsi="Palatino Linotype" w:cs="Arial"/>
          <w:color w:val="000000" w:themeColor="text1"/>
          <w:sz w:val="24"/>
          <w:szCs w:val="24"/>
        </w:rPr>
        <w:t xml:space="preserve"> convencido</w:t>
      </w:r>
      <w:r>
        <w:rPr>
          <w:rFonts w:ascii="Palatino Linotype" w:hAnsi="Palatino Linotype" w:cs="Arial"/>
          <w:color w:val="000000" w:themeColor="text1"/>
          <w:sz w:val="24"/>
          <w:szCs w:val="24"/>
        </w:rPr>
        <w:t>s</w:t>
      </w:r>
      <w:r w:rsidR="00EC68E3" w:rsidRPr="00CE7631">
        <w:rPr>
          <w:rFonts w:ascii="Palatino Linotype" w:hAnsi="Palatino Linotype" w:cs="Arial"/>
          <w:color w:val="000000" w:themeColor="text1"/>
          <w:sz w:val="24"/>
          <w:szCs w:val="24"/>
        </w:rPr>
        <w:t xml:space="preserve">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00EC68E3" w:rsidRPr="00CE7631">
        <w:rPr>
          <w:rFonts w:ascii="Palatino Linotype" w:hAnsi="Palatino Linotype" w:cs="Arial"/>
          <w:color w:val="000000" w:themeColor="text1"/>
          <w:sz w:val="24"/>
          <w:szCs w:val="24"/>
          <w:vertAlign w:val="superscript"/>
        </w:rPr>
        <w:footnoteReference w:id="8"/>
      </w:r>
      <w:r w:rsidR="00EC68E3" w:rsidRPr="00CE7631">
        <w:rPr>
          <w:rFonts w:ascii="Palatino Linotype" w:hAnsi="Palatino Linotype" w:cs="Arial"/>
          <w:color w:val="000000" w:themeColor="text1"/>
          <w:sz w:val="24"/>
          <w:szCs w:val="24"/>
        </w:rPr>
        <w:t xml:space="preserve"> o lo que </w:t>
      </w:r>
      <w:proofErr w:type="spellStart"/>
      <w:r w:rsidR="00EC68E3" w:rsidRPr="00CE7631">
        <w:rPr>
          <w:rFonts w:ascii="Palatino Linotype" w:hAnsi="Palatino Linotype" w:cs="Arial"/>
          <w:color w:val="000000" w:themeColor="text1"/>
          <w:sz w:val="24"/>
          <w:szCs w:val="24"/>
        </w:rPr>
        <w:t>Ferrajoli</w:t>
      </w:r>
      <w:proofErr w:type="spellEnd"/>
      <w:r w:rsidR="00EC68E3" w:rsidRPr="00CE7631">
        <w:rPr>
          <w:rFonts w:ascii="Palatino Linotype" w:hAnsi="Palatino Linotype" w:cs="Arial"/>
          <w:color w:val="000000" w:themeColor="text1"/>
          <w:sz w:val="24"/>
          <w:szCs w:val="24"/>
        </w:rPr>
        <w:t xml:space="preserve"> señala como la </w:t>
      </w:r>
      <w:r w:rsidR="00EC68E3" w:rsidRPr="00CE7631">
        <w:rPr>
          <w:rFonts w:ascii="Palatino Linotype" w:hAnsi="Palatino Linotype" w:cs="Arial"/>
          <w:i/>
          <w:color w:val="000000" w:themeColor="text1"/>
          <w:sz w:val="24"/>
          <w:szCs w:val="24"/>
        </w:rPr>
        <w:t>sanción por los actos ilícitos</w:t>
      </w:r>
      <w:r w:rsidR="00EC68E3" w:rsidRPr="00CE7631">
        <w:rPr>
          <w:rFonts w:ascii="Palatino Linotype" w:hAnsi="Palatino Linotype" w:cs="Arial"/>
          <w:color w:val="000000" w:themeColor="text1"/>
          <w:sz w:val="24"/>
          <w:szCs w:val="24"/>
        </w:rPr>
        <w:t xml:space="preserve"> según se ha citado ya. Lo cual implica que se debe revisar si el </w:t>
      </w:r>
      <w:r w:rsidR="00EC68E3" w:rsidRPr="00CE7631">
        <w:rPr>
          <w:rFonts w:ascii="Palatino Linotype" w:hAnsi="Palatino Linotype" w:cs="Arial"/>
          <w:color w:val="000000" w:themeColor="text1"/>
          <w:sz w:val="24"/>
          <w:szCs w:val="24"/>
        </w:rPr>
        <w:lastRenderedPageBreak/>
        <w:t xml:space="preserve">ordenamiento jurídico actual establece un procedimiento determinado que permita sancionar esta afectación particular al derecho </w:t>
      </w:r>
      <w:r w:rsidR="009F5304">
        <w:rPr>
          <w:rFonts w:ascii="Palatino Linotype" w:hAnsi="Palatino Linotype" w:cs="Arial"/>
          <w:color w:val="000000" w:themeColor="text1"/>
          <w:sz w:val="24"/>
          <w:szCs w:val="24"/>
        </w:rPr>
        <w:t>accionado.</w:t>
      </w:r>
    </w:p>
    <w:p w:rsidR="009F5304" w:rsidRDefault="009F5304" w:rsidP="009F5304">
      <w:pPr>
        <w:pStyle w:val="Prrafodelista"/>
        <w:rPr>
          <w:rFonts w:ascii="Palatino Linotype" w:hAnsi="Palatino Linotype" w:cs="Arial"/>
          <w:color w:val="000000" w:themeColor="text1"/>
          <w:sz w:val="24"/>
          <w:szCs w:val="24"/>
        </w:rPr>
      </w:pPr>
    </w:p>
    <w:p w:rsidR="00AA1F20" w:rsidRDefault="009844AE"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Est</w:t>
      </w:r>
      <w:r w:rsidR="009F5304">
        <w:rPr>
          <w:rFonts w:ascii="Palatino Linotype" w:hAnsi="Palatino Linotype" w:cs="Arial"/>
          <w:color w:val="000000" w:themeColor="text1"/>
          <w:sz w:val="24"/>
          <w:szCs w:val="24"/>
        </w:rPr>
        <w:t>oy</w:t>
      </w:r>
      <w:r w:rsidR="00EC68E3" w:rsidRPr="00CE7631">
        <w:rPr>
          <w:rFonts w:ascii="Palatino Linotype" w:hAnsi="Palatino Linotype" w:cs="Arial"/>
          <w:color w:val="000000" w:themeColor="text1"/>
          <w:sz w:val="24"/>
          <w:szCs w:val="24"/>
        </w:rPr>
        <w:t xml:space="preserve"> convencido de que el legislador ordinario federal y estatal, previó esta circunstancia y por esa razón estableció dos consecuencias precisas para sancionar este tipo de violac</w:t>
      </w:r>
      <w:r w:rsidR="009F5304">
        <w:rPr>
          <w:rFonts w:ascii="Palatino Linotype" w:hAnsi="Palatino Linotype" w:cs="Arial"/>
          <w:color w:val="000000" w:themeColor="text1"/>
          <w:sz w:val="24"/>
          <w:szCs w:val="24"/>
        </w:rPr>
        <w:t xml:space="preserve">iones o afectaciones al derecho. </w:t>
      </w:r>
      <w:r w:rsidR="00EC68E3" w:rsidRPr="00CE7631">
        <w:rPr>
          <w:rFonts w:ascii="Palatino Linotype" w:hAnsi="Palatino Linotype" w:cs="Arial"/>
          <w:color w:val="000000" w:themeColor="text1"/>
          <w:sz w:val="24"/>
          <w:szCs w:val="24"/>
        </w:rPr>
        <w:t xml:space="preserve">La primera en la dimensión de las responsabilidades individuales de los servidores públicos, según consta en el artículo </w:t>
      </w:r>
      <w:r w:rsidR="009F5304">
        <w:rPr>
          <w:rFonts w:ascii="Palatino Linotype" w:hAnsi="Palatino Linotype" w:cs="Arial"/>
          <w:color w:val="000000" w:themeColor="text1"/>
          <w:sz w:val="24"/>
          <w:szCs w:val="24"/>
        </w:rPr>
        <w:t>165</w:t>
      </w:r>
      <w:r w:rsidR="00EC68E3" w:rsidRPr="00CE7631">
        <w:rPr>
          <w:rFonts w:ascii="Palatino Linotype" w:hAnsi="Palatino Linotype" w:cs="Arial"/>
          <w:color w:val="000000" w:themeColor="text1"/>
          <w:sz w:val="24"/>
          <w:szCs w:val="24"/>
        </w:rPr>
        <w:t xml:space="preserve"> fracción I, </w:t>
      </w:r>
      <w:r w:rsidR="00AA1F20">
        <w:rPr>
          <w:rFonts w:ascii="Palatino Linotype" w:hAnsi="Palatino Linotype" w:cs="Arial"/>
          <w:color w:val="000000" w:themeColor="text1"/>
          <w:sz w:val="24"/>
          <w:szCs w:val="24"/>
        </w:rPr>
        <w:t>d</w:t>
      </w:r>
      <w:r w:rsidR="00EC68E3" w:rsidRPr="00CE7631">
        <w:rPr>
          <w:rFonts w:ascii="Palatino Linotype" w:hAnsi="Palatino Linotype" w:cs="Arial"/>
          <w:color w:val="000000" w:themeColor="text1"/>
          <w:sz w:val="24"/>
          <w:szCs w:val="24"/>
        </w:rPr>
        <w:t>e la</w:t>
      </w:r>
      <w:r w:rsidR="00D71594" w:rsidRPr="00CE7631">
        <w:rPr>
          <w:rFonts w:ascii="Palatino Linotype" w:hAnsi="Palatino Linotype" w:cs="Arial"/>
          <w:color w:val="000000" w:themeColor="text1"/>
          <w:sz w:val="24"/>
          <w:szCs w:val="24"/>
        </w:rPr>
        <w:t xml:space="preserve"> multicitada </w:t>
      </w:r>
      <w:r w:rsidR="00EC68E3" w:rsidRPr="00CE7631">
        <w:rPr>
          <w:rFonts w:ascii="Palatino Linotype" w:hAnsi="Palatino Linotype" w:cs="Arial"/>
          <w:color w:val="000000" w:themeColor="text1"/>
          <w:sz w:val="24"/>
          <w:szCs w:val="24"/>
        </w:rPr>
        <w:t>ley esta</w:t>
      </w:r>
      <w:r w:rsidR="00D71594" w:rsidRPr="00CE7631">
        <w:rPr>
          <w:rFonts w:ascii="Palatino Linotype" w:hAnsi="Palatino Linotype" w:cs="Arial"/>
          <w:color w:val="000000" w:themeColor="text1"/>
          <w:sz w:val="24"/>
          <w:szCs w:val="24"/>
        </w:rPr>
        <w:t xml:space="preserve">tal de </w:t>
      </w:r>
      <w:r w:rsidR="00AA1F20">
        <w:rPr>
          <w:rFonts w:ascii="Palatino Linotype" w:hAnsi="Palatino Linotype" w:cs="Arial"/>
          <w:color w:val="000000" w:themeColor="text1"/>
          <w:sz w:val="24"/>
          <w:szCs w:val="24"/>
        </w:rPr>
        <w:t xml:space="preserve">protección de datos personales en posesión de los Sujetos Obligados </w:t>
      </w:r>
      <w:r w:rsidR="00EC68E3" w:rsidRPr="00CE7631">
        <w:rPr>
          <w:rFonts w:ascii="Palatino Linotype" w:hAnsi="Palatino Linotype" w:cs="Arial"/>
          <w:color w:val="000000" w:themeColor="text1"/>
          <w:sz w:val="24"/>
          <w:szCs w:val="24"/>
        </w:rPr>
        <w:t>que determina como causa de responsabilidad administrativa de los servidores públicos</w:t>
      </w:r>
      <w:r w:rsidR="00AA1F20">
        <w:rPr>
          <w:rFonts w:ascii="Palatino Linotype" w:hAnsi="Palatino Linotype" w:cs="Arial"/>
          <w:color w:val="000000" w:themeColor="text1"/>
          <w:sz w:val="24"/>
          <w:szCs w:val="24"/>
        </w:rPr>
        <w:t xml:space="preserve"> el actuar con negligencia, dolo o mala fe en la sustanciación de las solicitudes de acceso, rectificación, cancelación u oposición de datos personales.</w:t>
      </w:r>
    </w:p>
    <w:p w:rsidR="00AA1F20" w:rsidRDefault="00AA1F20" w:rsidP="00AA1F20">
      <w:pPr>
        <w:pStyle w:val="Prrafodelista"/>
        <w:rPr>
          <w:rFonts w:ascii="Palatino Linotype" w:hAnsi="Palatino Linotype" w:cs="Arial"/>
          <w:color w:val="000000" w:themeColor="text1"/>
          <w:sz w:val="24"/>
          <w:szCs w:val="24"/>
        </w:rPr>
      </w:pPr>
    </w:p>
    <w:p w:rsidR="00EC68E3"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 En este caso es evidente que el pago que se pretende aplicar para la expedición de la información requerida en la modalidad elegida por </w:t>
      </w:r>
      <w:r w:rsidRPr="00CE7631">
        <w:rPr>
          <w:rFonts w:ascii="Palatino Linotype" w:hAnsi="Palatino Linotype" w:cs="Arial"/>
          <w:b/>
          <w:color w:val="000000" w:themeColor="text1"/>
          <w:sz w:val="24"/>
          <w:szCs w:val="24"/>
        </w:rPr>
        <w:t xml:space="preserve">el recurrente, no resulta aplicable </w:t>
      </w:r>
      <w:r w:rsidRPr="00CE7631">
        <w:rPr>
          <w:rFonts w:ascii="Palatino Linotype" w:hAnsi="Palatino Linotype" w:cs="Arial"/>
          <w:color w:val="000000" w:themeColor="text1"/>
          <w:sz w:val="24"/>
          <w:szCs w:val="24"/>
        </w:rPr>
        <w:t xml:space="preserve">para ello es dable señalar el contenido de la Ley de Transparencia y Acceso a la Información Pública del Estado de México y Municipios  </w:t>
      </w:r>
      <w:r w:rsidR="00AA1F20">
        <w:rPr>
          <w:rFonts w:ascii="Palatino Linotype" w:hAnsi="Palatino Linotype" w:cs="Arial"/>
          <w:color w:val="000000" w:themeColor="text1"/>
          <w:sz w:val="24"/>
          <w:szCs w:val="24"/>
        </w:rPr>
        <w:t xml:space="preserve">de aplicación supletoria a la Ley de Protección de Datos Personales en posesión de los Sujetos Obligados del Estado de México y Municipios </w:t>
      </w:r>
      <w:r w:rsidRPr="00CE7631">
        <w:rPr>
          <w:rFonts w:ascii="Palatino Linotype" w:hAnsi="Palatino Linotype" w:cs="Arial"/>
          <w:color w:val="000000" w:themeColor="text1"/>
          <w:sz w:val="24"/>
          <w:szCs w:val="24"/>
        </w:rPr>
        <w:t>en su artículo 234, el cual establece lo siguiente:</w:t>
      </w:r>
    </w:p>
    <w:p w:rsidR="00EC68E3" w:rsidRPr="00CE7631" w:rsidRDefault="00EC68E3" w:rsidP="00E922BD">
      <w:pPr>
        <w:pStyle w:val="Prrafodelista"/>
        <w:spacing w:line="360" w:lineRule="auto"/>
        <w:ind w:left="0"/>
        <w:rPr>
          <w:rFonts w:ascii="Palatino Linotype" w:hAnsi="Palatino Linotype" w:cs="Arial"/>
          <w:b/>
          <w:color w:val="000000" w:themeColor="text1"/>
          <w:sz w:val="24"/>
          <w:szCs w:val="24"/>
        </w:rPr>
      </w:pPr>
    </w:p>
    <w:p w:rsidR="00EC68E3" w:rsidRPr="00CE7631" w:rsidRDefault="00EC68E3" w:rsidP="00E922BD">
      <w:pPr>
        <w:autoSpaceDE w:val="0"/>
        <w:autoSpaceDN w:val="0"/>
        <w:adjustRightInd w:val="0"/>
        <w:spacing w:after="0" w:line="360" w:lineRule="auto"/>
        <w:ind w:left="851" w:right="616"/>
        <w:jc w:val="both"/>
        <w:rPr>
          <w:rFonts w:ascii="Palatino Linotype" w:hAnsi="Palatino Linotype" w:cs="Bookman Old Style"/>
          <w:i/>
          <w:szCs w:val="24"/>
        </w:rPr>
      </w:pPr>
      <w:r w:rsidRPr="00CE7631">
        <w:rPr>
          <w:rFonts w:ascii="Palatino Linotype" w:hAnsi="Palatino Linotype" w:cs="Bookman Old Style,Bold"/>
          <w:b/>
          <w:bCs/>
          <w:i/>
          <w:szCs w:val="24"/>
        </w:rPr>
        <w:lastRenderedPageBreak/>
        <w:t xml:space="preserve">Artículo 234. </w:t>
      </w:r>
      <w:r w:rsidRPr="00CE7631">
        <w:rPr>
          <w:rFonts w:ascii="Palatino Linotype" w:hAnsi="Palatino Linotype" w:cs="Bookman Old Style"/>
          <w:i/>
          <w:szCs w:val="24"/>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rsidR="00EC68E3" w:rsidRPr="00CE7631" w:rsidRDefault="00EC68E3" w:rsidP="00E922BD">
      <w:pPr>
        <w:autoSpaceDE w:val="0"/>
        <w:autoSpaceDN w:val="0"/>
        <w:adjustRightInd w:val="0"/>
        <w:spacing w:after="0" w:line="360" w:lineRule="auto"/>
        <w:rPr>
          <w:rFonts w:ascii="Palatino Linotype" w:hAnsi="Palatino Linotype" w:cs="Arial"/>
          <w:color w:val="000000" w:themeColor="text1"/>
          <w:sz w:val="24"/>
          <w:szCs w:val="24"/>
        </w:rPr>
      </w:pPr>
    </w:p>
    <w:p w:rsidR="00AA1F20"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El precepto legal en comento resulta aplicable al caso que nos ocupa, toda vez que el Sujeto Obligado respondió a la solicitud </w:t>
      </w:r>
      <w:r w:rsidR="00AA1F20">
        <w:rPr>
          <w:rFonts w:ascii="Palatino Linotype" w:hAnsi="Palatino Linotype" w:cs="Arial"/>
          <w:color w:val="000000" w:themeColor="text1"/>
          <w:sz w:val="24"/>
          <w:szCs w:val="24"/>
        </w:rPr>
        <w:t>mediante una modalidad distinta y según lo dispuesto por el artículo 129 fracción VIII es una causal de procedencia del recurso de revisión, lo que se traduce,  como anteriormente lo he mencionado, en una afectación directa al derecho accionado, lo cual debe ser reparado y se encuadra perfectamente en el artículo 234 aquí citado.</w:t>
      </w:r>
    </w:p>
    <w:p w:rsidR="00EC68E3" w:rsidRPr="00CE7631" w:rsidRDefault="00EC68E3" w:rsidP="00E922BD">
      <w:pPr>
        <w:spacing w:after="0" w:line="360" w:lineRule="auto"/>
        <w:contextualSpacing/>
        <w:jc w:val="both"/>
        <w:rPr>
          <w:rFonts w:ascii="Palatino Linotype" w:hAnsi="Palatino Linotype" w:cs="Arial"/>
          <w:color w:val="000000" w:themeColor="text1"/>
          <w:sz w:val="24"/>
          <w:szCs w:val="24"/>
        </w:rPr>
      </w:pPr>
    </w:p>
    <w:p w:rsidR="00EC68E3" w:rsidRPr="009E3B0A" w:rsidRDefault="00EC68E3" w:rsidP="009E3B0A">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Rob</w:t>
      </w:r>
      <w:r w:rsidR="009844AE">
        <w:rPr>
          <w:rFonts w:ascii="Palatino Linotype" w:hAnsi="Palatino Linotype" w:cs="Arial"/>
          <w:color w:val="000000" w:themeColor="text1"/>
          <w:sz w:val="24"/>
          <w:szCs w:val="24"/>
        </w:rPr>
        <w:t xml:space="preserve">ustece nuestra </w:t>
      </w:r>
      <w:r w:rsidRPr="00CE7631">
        <w:rPr>
          <w:rFonts w:ascii="Palatino Linotype" w:hAnsi="Palatino Linotype" w:cs="Arial"/>
          <w:color w:val="000000" w:themeColor="text1"/>
          <w:sz w:val="24"/>
          <w:szCs w:val="24"/>
        </w:rPr>
        <w:t xml:space="preserve">postura, entendiéndose que al haber </w:t>
      </w:r>
      <w:r w:rsidR="00AA1F20">
        <w:rPr>
          <w:rFonts w:ascii="Palatino Linotype" w:hAnsi="Palatino Linotype" w:cs="Arial"/>
          <w:color w:val="000000" w:themeColor="text1"/>
          <w:sz w:val="24"/>
          <w:szCs w:val="24"/>
        </w:rPr>
        <w:t xml:space="preserve">atendido la solicitud mediante modalidad distinta a la requerida </w:t>
      </w:r>
      <w:r w:rsidRPr="00CE7631">
        <w:rPr>
          <w:rFonts w:ascii="Palatino Linotype" w:hAnsi="Palatino Linotype" w:cs="Arial"/>
          <w:color w:val="000000" w:themeColor="text1"/>
          <w:sz w:val="24"/>
          <w:szCs w:val="24"/>
        </w:rPr>
        <w:t xml:space="preserve">sin causa debidamente justificada, se presume que el Sujeto Obligado concurre en una negligencia en cuanto al cumplimiento de sus obligaciones, por lo cual, resulta dable como medida de reparación a la afectación del derecho del recurrente, entregar la información solicitada en la modalidad elegida por la solicitante </w:t>
      </w:r>
      <w:r w:rsidRPr="00CE7631">
        <w:rPr>
          <w:rFonts w:ascii="Palatino Linotype" w:hAnsi="Palatino Linotype" w:cs="Arial"/>
          <w:b/>
          <w:color w:val="000000" w:themeColor="text1"/>
          <w:sz w:val="24"/>
          <w:szCs w:val="24"/>
        </w:rPr>
        <w:t>sin costo alguno</w:t>
      </w:r>
      <w:r w:rsidRPr="00CE7631">
        <w:rPr>
          <w:rFonts w:ascii="Palatino Linotype" w:hAnsi="Palatino Linotype" w:cs="Arial"/>
          <w:color w:val="000000" w:themeColor="text1"/>
          <w:sz w:val="24"/>
          <w:szCs w:val="24"/>
        </w:rPr>
        <w:t xml:space="preserve">, por no haber promovido, respetado y garantizado el efectivo ejercicio del derecho </w:t>
      </w:r>
      <w:r w:rsidR="00AA1F20">
        <w:rPr>
          <w:rFonts w:ascii="Palatino Linotype" w:hAnsi="Palatino Linotype" w:cs="Arial"/>
          <w:color w:val="000000" w:themeColor="text1"/>
          <w:sz w:val="24"/>
          <w:szCs w:val="24"/>
        </w:rPr>
        <w:t xml:space="preserve">al acceso a datos personales. </w:t>
      </w:r>
      <w:r w:rsidRPr="009E3B0A">
        <w:rPr>
          <w:rFonts w:ascii="Palatino Linotype" w:hAnsi="Palatino Linotype" w:cs="Arial"/>
          <w:color w:val="000000" w:themeColor="text1"/>
          <w:sz w:val="24"/>
          <w:szCs w:val="24"/>
        </w:rPr>
        <w:t xml:space="preserve">En ese mismo sentido, al perder el Sujeto Obligado la posibilidad momentánea de acceder a los derechos por la expedición de la información en la modalidad de entrega elegida por el particular puede ser un incentivo adicional para </w:t>
      </w:r>
      <w:r w:rsidRPr="009E3B0A">
        <w:rPr>
          <w:rFonts w:ascii="Palatino Linotype" w:hAnsi="Palatino Linotype" w:cs="Arial"/>
          <w:color w:val="000000" w:themeColor="text1"/>
          <w:sz w:val="24"/>
          <w:szCs w:val="24"/>
        </w:rPr>
        <w:lastRenderedPageBreak/>
        <w:t xml:space="preserve">que, en el futuro, las solicitudes sean atendidas bajo el más alto estándar que promueva la plena protección del derecho en cuestión. </w:t>
      </w:r>
    </w:p>
    <w:p w:rsidR="00EC68E3" w:rsidRPr="00CE7631" w:rsidRDefault="00EC68E3" w:rsidP="00E922BD">
      <w:pPr>
        <w:pStyle w:val="Prrafodelista"/>
        <w:spacing w:line="360" w:lineRule="auto"/>
        <w:ind w:left="0"/>
        <w:rPr>
          <w:rFonts w:ascii="Palatino Linotype" w:hAnsi="Palatino Linotype" w:cs="Arial"/>
          <w:color w:val="000000" w:themeColor="text1"/>
          <w:sz w:val="24"/>
          <w:szCs w:val="24"/>
        </w:rPr>
      </w:pPr>
    </w:p>
    <w:p w:rsidR="001A103E" w:rsidRPr="00CE7631" w:rsidRDefault="00EC68E3" w:rsidP="00E922BD">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E7631">
        <w:rPr>
          <w:rFonts w:ascii="Palatino Linotype" w:hAnsi="Palatino Linotype" w:cs="Arial"/>
          <w:color w:val="000000" w:themeColor="text1"/>
          <w:sz w:val="24"/>
          <w:szCs w:val="24"/>
        </w:rPr>
        <w:t xml:space="preserve">Pero al negarse el Pleno del Instituto a aplicar en estos términos el último artículo de la ley de transparencia y confiar en que se desahogue un procedimiento individualizado cuya culminación en términos temporales corre en una pista distinta y que supera con mucho los plazos para cumplir la presente resolución, perdemos la oportunidad de adoptar estas medidas de reparación del derecho a través de un beneficio directo establecido en la ley en favor de la persona; nos alejamos del criterio jurisprudencial interamericano de las medidas para asegurar la no repetición de los actos que violan los derechos y que deberían de sancionarse como actos ilícitos, según </w:t>
      </w:r>
      <w:proofErr w:type="spellStart"/>
      <w:r w:rsidRPr="00CE7631">
        <w:rPr>
          <w:rFonts w:ascii="Palatino Linotype" w:hAnsi="Palatino Linotype" w:cs="Arial"/>
          <w:color w:val="000000" w:themeColor="text1"/>
          <w:sz w:val="24"/>
          <w:szCs w:val="24"/>
        </w:rPr>
        <w:t>Ferrajoli</w:t>
      </w:r>
      <w:proofErr w:type="spellEnd"/>
      <w:r w:rsidRPr="00CE7631">
        <w:rPr>
          <w:rFonts w:ascii="Palatino Linotype" w:hAnsi="Palatino Linotype" w:cs="Arial"/>
          <w:color w:val="000000" w:themeColor="text1"/>
          <w:sz w:val="24"/>
          <w:szCs w:val="24"/>
        </w:rPr>
        <w:t>; al mismo tiempo que, de manera más grave, estamos incurriendo en una desaplicación de la norma positiva que estamos obligados a cumplir plenamente, con lo que nos colocamos en un lugar inaceptable en el diseño constitucional del país como una autoridad que, para el caso concreto, es capaz de desaplicar una porción normativa precisa, a pesar de que la Suprema Corte de Justicia de la Nación se ha pronunciado ya en un sentido distinto.</w:t>
      </w:r>
      <w:r w:rsidRPr="00CE7631">
        <w:rPr>
          <w:rFonts w:ascii="Palatino Linotype" w:hAnsi="Palatino Linotype" w:cs="Arial"/>
          <w:color w:val="000000" w:themeColor="text1"/>
          <w:sz w:val="24"/>
          <w:szCs w:val="24"/>
          <w:vertAlign w:val="superscript"/>
        </w:rPr>
        <w:footnoteReference w:id="9"/>
      </w:r>
      <w:r w:rsidRPr="00CE7631">
        <w:rPr>
          <w:rFonts w:ascii="Palatino Linotype" w:hAnsi="Palatino Linotype" w:cs="Arial"/>
          <w:color w:val="000000" w:themeColor="text1"/>
          <w:sz w:val="24"/>
          <w:szCs w:val="24"/>
        </w:rPr>
        <w:t xml:space="preserve"> </w:t>
      </w:r>
    </w:p>
    <w:p w:rsidR="00CE7631" w:rsidRPr="00CE7631" w:rsidRDefault="00CE7631" w:rsidP="00E922BD">
      <w:pPr>
        <w:spacing w:after="0" w:line="360" w:lineRule="auto"/>
        <w:ind w:left="360"/>
        <w:contextualSpacing/>
        <w:jc w:val="both"/>
        <w:rPr>
          <w:rFonts w:ascii="Palatino Linotype" w:hAnsi="Palatino Linotype" w:cs="Arial"/>
          <w:color w:val="000000" w:themeColor="text1"/>
          <w:sz w:val="24"/>
          <w:szCs w:val="24"/>
        </w:rPr>
      </w:pPr>
    </w:p>
    <w:p w:rsidR="001A103E" w:rsidRDefault="00EC68E3" w:rsidP="009844AE">
      <w:pPr>
        <w:keepNext/>
        <w:keepLines/>
        <w:numPr>
          <w:ilvl w:val="0"/>
          <w:numId w:val="12"/>
        </w:numPr>
        <w:spacing w:before="40" w:after="0" w:line="360" w:lineRule="auto"/>
        <w:ind w:left="0" w:firstLine="0"/>
        <w:outlineLvl w:val="1"/>
        <w:rPr>
          <w:rFonts w:ascii="Palatino Linotype" w:eastAsiaTheme="majorEastAsia" w:hAnsi="Palatino Linotype" w:cs="Arial"/>
          <w:b/>
          <w:iCs/>
          <w:color w:val="000000" w:themeColor="text1"/>
          <w:sz w:val="24"/>
          <w:szCs w:val="24"/>
        </w:rPr>
      </w:pPr>
      <w:bookmarkStart w:id="8" w:name="_Toc536191462"/>
      <w:r w:rsidRPr="00CE7631">
        <w:rPr>
          <w:rFonts w:ascii="Palatino Linotype" w:eastAsiaTheme="majorEastAsia" w:hAnsi="Palatino Linotype" w:cs="Arial"/>
          <w:b/>
          <w:iCs/>
          <w:color w:val="000000" w:themeColor="text1"/>
          <w:sz w:val="24"/>
          <w:szCs w:val="24"/>
        </w:rPr>
        <w:lastRenderedPageBreak/>
        <w:t>Conclusiones.</w:t>
      </w:r>
      <w:bookmarkEnd w:id="8"/>
      <w:r w:rsidRPr="00CE7631">
        <w:rPr>
          <w:rFonts w:ascii="Palatino Linotype" w:eastAsiaTheme="majorEastAsia" w:hAnsi="Palatino Linotype" w:cs="Arial"/>
          <w:b/>
          <w:iCs/>
          <w:color w:val="000000" w:themeColor="text1"/>
          <w:sz w:val="24"/>
          <w:szCs w:val="24"/>
        </w:rPr>
        <w:t xml:space="preserve"> </w:t>
      </w:r>
    </w:p>
    <w:p w:rsidR="00F154C8" w:rsidRPr="009844AE" w:rsidRDefault="00F154C8" w:rsidP="00F154C8">
      <w:pPr>
        <w:keepNext/>
        <w:keepLines/>
        <w:spacing w:before="40" w:after="0" w:line="360" w:lineRule="auto"/>
        <w:outlineLvl w:val="1"/>
        <w:rPr>
          <w:rFonts w:ascii="Palatino Linotype" w:eastAsiaTheme="majorEastAsia" w:hAnsi="Palatino Linotype" w:cs="Arial"/>
          <w:b/>
          <w:iCs/>
          <w:color w:val="000000" w:themeColor="text1"/>
          <w:sz w:val="24"/>
          <w:szCs w:val="24"/>
        </w:rPr>
      </w:pPr>
    </w:p>
    <w:p w:rsidR="004A6C66" w:rsidRDefault="00AA1F20" w:rsidP="00AA1F20">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Atender de manera negligente las solicitudes que formulen los particulares o en modalidades distintas sin causa justificada, provoca una afectación al derecho accionado. </w:t>
      </w:r>
      <w:r w:rsidR="00171997" w:rsidRPr="00AA1F20">
        <w:rPr>
          <w:rFonts w:ascii="Palatino Linotype" w:hAnsi="Palatino Linotype" w:cs="Arial"/>
          <w:color w:val="000000" w:themeColor="text1"/>
          <w:sz w:val="24"/>
          <w:szCs w:val="24"/>
        </w:rPr>
        <w:t>E</w:t>
      </w:r>
      <w:r w:rsidR="00EC68E3" w:rsidRPr="00AA1F20">
        <w:rPr>
          <w:rFonts w:ascii="Palatino Linotype" w:hAnsi="Palatino Linotype" w:cs="Arial"/>
          <w:color w:val="000000" w:themeColor="text1"/>
          <w:sz w:val="24"/>
          <w:szCs w:val="24"/>
        </w:rPr>
        <w:t xml:space="preserve">n ese sentido, el deber de reparación de los Sujetos Obligados no solo debe versar en la entrega de la información completa, sino también, en cubrir los gastos de reproducción y envío, tal y como lo establece la Ley en materia, esto, </w:t>
      </w:r>
      <w:r w:rsidR="000F41EA" w:rsidRPr="00AA1F20">
        <w:rPr>
          <w:rFonts w:ascii="Palatino Linotype" w:hAnsi="Palatino Linotype" w:cs="Arial"/>
          <w:color w:val="000000" w:themeColor="text1"/>
          <w:sz w:val="24"/>
          <w:szCs w:val="24"/>
        </w:rPr>
        <w:t xml:space="preserve">con la finalidad </w:t>
      </w:r>
      <w:r w:rsidR="00EC68E3" w:rsidRPr="00AA1F20">
        <w:rPr>
          <w:rFonts w:ascii="Palatino Linotype" w:hAnsi="Palatino Linotype" w:cs="Arial"/>
          <w:color w:val="000000" w:themeColor="text1"/>
          <w:sz w:val="24"/>
          <w:szCs w:val="24"/>
        </w:rPr>
        <w:t xml:space="preserve">de disminuir el alto índice de negligencia </w:t>
      </w:r>
      <w:r w:rsidR="000F41EA" w:rsidRPr="00AA1F20">
        <w:rPr>
          <w:rFonts w:ascii="Palatino Linotype" w:hAnsi="Palatino Linotype" w:cs="Arial"/>
          <w:color w:val="000000" w:themeColor="text1"/>
          <w:sz w:val="24"/>
          <w:szCs w:val="24"/>
        </w:rPr>
        <w:t>por parte de lo</w:t>
      </w:r>
      <w:r w:rsidR="00EC68E3" w:rsidRPr="00AA1F20">
        <w:rPr>
          <w:rFonts w:ascii="Palatino Linotype" w:hAnsi="Palatino Linotype" w:cs="Arial"/>
          <w:color w:val="000000" w:themeColor="text1"/>
          <w:sz w:val="24"/>
          <w:szCs w:val="24"/>
        </w:rPr>
        <w:t xml:space="preserve">s </w:t>
      </w:r>
      <w:r w:rsidR="000F41EA" w:rsidRPr="00AA1F20">
        <w:rPr>
          <w:rFonts w:ascii="Palatino Linotype" w:hAnsi="Palatino Linotype" w:cs="Arial"/>
          <w:color w:val="000000" w:themeColor="text1"/>
          <w:sz w:val="24"/>
          <w:szCs w:val="24"/>
        </w:rPr>
        <w:t>Sujetos Obligados para</w:t>
      </w:r>
      <w:r w:rsidR="00EC68E3" w:rsidRPr="00AA1F20">
        <w:rPr>
          <w:rFonts w:ascii="Palatino Linotype" w:hAnsi="Palatino Linotype" w:cs="Arial"/>
          <w:color w:val="000000" w:themeColor="text1"/>
          <w:sz w:val="24"/>
          <w:szCs w:val="24"/>
        </w:rPr>
        <w:t xml:space="preserve"> atender </w:t>
      </w:r>
      <w:r w:rsidR="000F41EA" w:rsidRPr="00AA1F20">
        <w:rPr>
          <w:rFonts w:ascii="Palatino Linotype" w:hAnsi="Palatino Linotype" w:cs="Arial"/>
          <w:color w:val="000000" w:themeColor="text1"/>
          <w:sz w:val="24"/>
          <w:szCs w:val="24"/>
        </w:rPr>
        <w:t xml:space="preserve">las solicitudes de información y a su vez hacer cumplir con las </w:t>
      </w:r>
      <w:r>
        <w:rPr>
          <w:rFonts w:ascii="Palatino Linotype" w:hAnsi="Palatino Linotype" w:cs="Arial"/>
          <w:color w:val="000000" w:themeColor="text1"/>
          <w:sz w:val="24"/>
          <w:szCs w:val="24"/>
        </w:rPr>
        <w:t>obligaciones que establece la l</w:t>
      </w:r>
      <w:r w:rsidR="00EC68E3" w:rsidRPr="00AA1F20">
        <w:rPr>
          <w:rFonts w:ascii="Palatino Linotype" w:hAnsi="Palatino Linotype" w:cs="Arial"/>
          <w:color w:val="000000" w:themeColor="text1"/>
          <w:sz w:val="24"/>
          <w:szCs w:val="24"/>
        </w:rPr>
        <w:t xml:space="preserve">ey </w:t>
      </w:r>
      <w:r>
        <w:rPr>
          <w:rFonts w:ascii="Palatino Linotype" w:hAnsi="Palatino Linotype" w:cs="Arial"/>
          <w:color w:val="000000" w:themeColor="text1"/>
          <w:sz w:val="24"/>
          <w:szCs w:val="24"/>
        </w:rPr>
        <w:t>en materia.</w:t>
      </w:r>
    </w:p>
    <w:p w:rsidR="00AA1F20" w:rsidRDefault="00AA1F20" w:rsidP="00AA1F20">
      <w:pPr>
        <w:spacing w:after="0" w:line="360" w:lineRule="auto"/>
        <w:contextualSpacing/>
        <w:jc w:val="both"/>
        <w:rPr>
          <w:rFonts w:ascii="Palatino Linotype" w:hAnsi="Palatino Linotype" w:cs="Arial"/>
          <w:color w:val="000000" w:themeColor="text1"/>
          <w:sz w:val="24"/>
          <w:szCs w:val="24"/>
        </w:rPr>
      </w:pPr>
    </w:p>
    <w:p w:rsidR="00AA1F20" w:rsidRDefault="00AA1F20" w:rsidP="00AA1F20">
      <w:pPr>
        <w:spacing w:after="0" w:line="360" w:lineRule="auto"/>
        <w:contextualSpacing/>
        <w:jc w:val="both"/>
        <w:rPr>
          <w:rFonts w:ascii="Palatino Linotype" w:hAnsi="Palatino Linotype" w:cs="Arial"/>
          <w:color w:val="000000" w:themeColor="text1"/>
          <w:sz w:val="24"/>
          <w:szCs w:val="24"/>
        </w:rPr>
      </w:pPr>
    </w:p>
    <w:p w:rsidR="00AA1F20" w:rsidRDefault="00AA1F20" w:rsidP="00AA1F20">
      <w:pPr>
        <w:spacing w:after="0" w:line="360" w:lineRule="auto"/>
        <w:contextualSpacing/>
        <w:jc w:val="both"/>
        <w:rPr>
          <w:rFonts w:ascii="Palatino Linotype" w:hAnsi="Palatino Linotype" w:cs="Arial"/>
          <w:color w:val="000000" w:themeColor="text1"/>
          <w:sz w:val="24"/>
          <w:szCs w:val="24"/>
        </w:rPr>
      </w:pPr>
    </w:p>
    <w:p w:rsidR="00AA1F20" w:rsidRDefault="00AA1F20" w:rsidP="00AA1F20">
      <w:pPr>
        <w:spacing w:after="0" w:line="360" w:lineRule="auto"/>
        <w:contextualSpacing/>
        <w:jc w:val="both"/>
        <w:rPr>
          <w:rFonts w:ascii="Palatino Linotype" w:hAnsi="Palatino Linotype" w:cs="Arial"/>
          <w:color w:val="000000" w:themeColor="text1"/>
          <w:sz w:val="24"/>
          <w:szCs w:val="24"/>
        </w:rPr>
      </w:pPr>
    </w:p>
    <w:p w:rsidR="00AA1F20" w:rsidRDefault="00AA1F20" w:rsidP="00AA1F20">
      <w:pPr>
        <w:spacing w:after="0" w:line="360" w:lineRule="auto"/>
        <w:contextualSpacing/>
        <w:jc w:val="both"/>
        <w:rPr>
          <w:rFonts w:ascii="Palatino Linotype" w:hAnsi="Palatino Linotype" w:cs="Arial"/>
          <w:color w:val="000000" w:themeColor="text1"/>
          <w:sz w:val="24"/>
          <w:szCs w:val="24"/>
        </w:rPr>
      </w:pPr>
    </w:p>
    <w:p w:rsidR="00AA1F20" w:rsidRDefault="00AA1F20" w:rsidP="00AA1F20">
      <w:pPr>
        <w:spacing w:after="0" w:line="360" w:lineRule="auto"/>
        <w:contextualSpacing/>
        <w:jc w:val="both"/>
        <w:rPr>
          <w:rFonts w:ascii="Palatino Linotype" w:hAnsi="Palatino Linotype" w:cs="Arial"/>
          <w:color w:val="000000" w:themeColor="text1"/>
          <w:sz w:val="24"/>
          <w:szCs w:val="24"/>
        </w:rPr>
      </w:pPr>
    </w:p>
    <w:p w:rsidR="00AA1F20" w:rsidRPr="004A6C66" w:rsidRDefault="00AA1F20" w:rsidP="00AA1F20">
      <w:pPr>
        <w:spacing w:line="360" w:lineRule="auto"/>
        <w:contextualSpacing/>
        <w:jc w:val="center"/>
        <w:rPr>
          <w:rFonts w:ascii="Palatino Linotype" w:hAnsi="Palatino Linotype" w:cs="Arial"/>
          <w:b/>
          <w:color w:val="000000" w:themeColor="text1"/>
          <w:sz w:val="23"/>
          <w:szCs w:val="23"/>
        </w:rPr>
      </w:pPr>
      <w:r w:rsidRPr="004A6C66">
        <w:rPr>
          <w:rFonts w:ascii="Palatino Linotype" w:hAnsi="Palatino Linotype" w:cs="Arial"/>
          <w:b/>
          <w:color w:val="000000" w:themeColor="text1"/>
          <w:sz w:val="23"/>
          <w:szCs w:val="23"/>
        </w:rPr>
        <w:t>JOSÉ GUADALUPE LUNA HERNÁNDEZ</w:t>
      </w:r>
    </w:p>
    <w:p w:rsidR="00AA1F20" w:rsidRDefault="00AA1F20" w:rsidP="00AA1F20">
      <w:pPr>
        <w:spacing w:line="360" w:lineRule="auto"/>
        <w:contextualSpacing/>
        <w:jc w:val="center"/>
        <w:rPr>
          <w:rFonts w:ascii="Palatino Linotype" w:hAnsi="Palatino Linotype" w:cs="Arial"/>
          <w:b/>
          <w:color w:val="000000" w:themeColor="text1"/>
          <w:sz w:val="23"/>
          <w:szCs w:val="23"/>
        </w:rPr>
      </w:pPr>
      <w:r w:rsidRPr="004A6C66">
        <w:rPr>
          <w:rFonts w:ascii="Palatino Linotype" w:hAnsi="Palatino Linotype" w:cs="Arial"/>
          <w:b/>
          <w:color w:val="000000" w:themeColor="text1"/>
          <w:sz w:val="23"/>
          <w:szCs w:val="23"/>
        </w:rPr>
        <w:t>COMISIONADO</w:t>
      </w:r>
    </w:p>
    <w:p w:rsidR="00AA1F20" w:rsidRDefault="00AA1F20" w:rsidP="00AA1F20">
      <w:pPr>
        <w:spacing w:line="360" w:lineRule="auto"/>
        <w:contextualSpacing/>
        <w:jc w:val="center"/>
        <w:rPr>
          <w:rFonts w:ascii="Palatino Linotype" w:hAnsi="Palatino Linotype" w:cs="Arial"/>
          <w:b/>
          <w:color w:val="000000" w:themeColor="text1"/>
          <w:sz w:val="23"/>
          <w:szCs w:val="23"/>
        </w:rPr>
      </w:pPr>
      <w:r>
        <w:rPr>
          <w:rFonts w:ascii="Palatino Linotype" w:hAnsi="Palatino Linotype" w:cs="Arial"/>
          <w:b/>
          <w:color w:val="000000" w:themeColor="text1"/>
          <w:sz w:val="23"/>
          <w:szCs w:val="23"/>
        </w:rPr>
        <w:t>(Rúbrica)</w:t>
      </w:r>
    </w:p>
    <w:p w:rsidR="00AA1F20" w:rsidRDefault="00AA1F20" w:rsidP="00AA1F20">
      <w:pPr>
        <w:spacing w:line="360" w:lineRule="auto"/>
        <w:contextualSpacing/>
        <w:jc w:val="center"/>
        <w:rPr>
          <w:rFonts w:ascii="Palatino Linotype" w:hAnsi="Palatino Linotype" w:cs="Arial"/>
          <w:b/>
          <w:color w:val="000000" w:themeColor="text1"/>
          <w:sz w:val="23"/>
          <w:szCs w:val="23"/>
        </w:rPr>
      </w:pPr>
    </w:p>
    <w:p w:rsidR="00AA1F20" w:rsidRDefault="00AA1F20" w:rsidP="00AA1F20">
      <w:pPr>
        <w:spacing w:line="360" w:lineRule="auto"/>
        <w:contextualSpacing/>
        <w:jc w:val="center"/>
        <w:rPr>
          <w:rFonts w:ascii="Palatino Linotype" w:hAnsi="Palatino Linotype" w:cs="Arial"/>
          <w:b/>
          <w:color w:val="000000" w:themeColor="text1"/>
          <w:sz w:val="23"/>
          <w:szCs w:val="23"/>
        </w:rPr>
      </w:pPr>
    </w:p>
    <w:p w:rsidR="00AA1F20" w:rsidRDefault="00AA1F20" w:rsidP="00AA1F20">
      <w:pPr>
        <w:spacing w:line="360" w:lineRule="auto"/>
        <w:contextualSpacing/>
        <w:jc w:val="center"/>
        <w:rPr>
          <w:rFonts w:ascii="Palatino Linotype" w:hAnsi="Palatino Linotype" w:cs="Arial"/>
          <w:b/>
          <w:color w:val="000000" w:themeColor="text1"/>
          <w:sz w:val="23"/>
          <w:szCs w:val="23"/>
        </w:rPr>
      </w:pPr>
    </w:p>
    <w:p w:rsidR="00AA1F20" w:rsidRPr="004A6C66" w:rsidRDefault="00AA1F20" w:rsidP="00AA1F20">
      <w:pPr>
        <w:spacing w:line="360" w:lineRule="auto"/>
        <w:contextualSpacing/>
        <w:rPr>
          <w:rFonts w:ascii="Palatino Linotype" w:hAnsi="Palatino Linotype" w:cs="Arial"/>
          <w:b/>
          <w:color w:val="000000" w:themeColor="text1"/>
          <w:sz w:val="23"/>
          <w:szCs w:val="23"/>
        </w:rPr>
      </w:pPr>
      <w:r>
        <w:rPr>
          <w:rFonts w:ascii="Palatino Linotype" w:hAnsi="Palatino Linotype" w:cs="Arial"/>
          <w:b/>
          <w:color w:val="000000" w:themeColor="text1"/>
          <w:sz w:val="23"/>
          <w:szCs w:val="23"/>
        </w:rPr>
        <w:t>JGLN/ADM</w:t>
      </w:r>
    </w:p>
    <w:p w:rsidR="00AA1F20" w:rsidRDefault="00AA1F20" w:rsidP="00AA1F20">
      <w:pPr>
        <w:spacing w:after="0" w:line="360" w:lineRule="auto"/>
        <w:contextualSpacing/>
        <w:jc w:val="both"/>
        <w:rPr>
          <w:rFonts w:ascii="Palatino Linotype" w:hAnsi="Palatino Linotype" w:cs="Arial"/>
          <w:color w:val="000000" w:themeColor="text1"/>
          <w:sz w:val="24"/>
          <w:szCs w:val="24"/>
        </w:rPr>
      </w:pPr>
    </w:p>
    <w:sectPr w:rsidR="00AA1F20" w:rsidSect="00E922BD">
      <w:headerReference w:type="even" r:id="rId8"/>
      <w:headerReference w:type="default" r:id="rId9"/>
      <w:footerReference w:type="even" r:id="rId10"/>
      <w:footerReference w:type="default" r:id="rId11"/>
      <w:headerReference w:type="first" r:id="rId12"/>
      <w:footerReference w:type="first" r:id="rId13"/>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382" w:rsidRDefault="00D66382" w:rsidP="00E706DA">
      <w:pPr>
        <w:spacing w:after="0" w:line="240" w:lineRule="auto"/>
      </w:pPr>
      <w:r>
        <w:separator/>
      </w:r>
    </w:p>
  </w:endnote>
  <w:endnote w:type="continuationSeparator" w:id="0">
    <w:p w:rsidR="00D66382" w:rsidRDefault="00D6638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D663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CE5993">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CE5993">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D663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D663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382" w:rsidRDefault="00D66382" w:rsidP="00E706DA">
      <w:pPr>
        <w:spacing w:after="0" w:line="240" w:lineRule="auto"/>
      </w:pPr>
      <w:r>
        <w:separator/>
      </w:r>
    </w:p>
  </w:footnote>
  <w:footnote w:type="continuationSeparator" w:id="0">
    <w:p w:rsidR="00D66382" w:rsidRDefault="00D66382" w:rsidP="00E706DA">
      <w:pPr>
        <w:spacing w:after="0" w:line="240" w:lineRule="auto"/>
      </w:pPr>
      <w:r>
        <w:continuationSeparator/>
      </w:r>
    </w:p>
  </w:footnote>
  <w:footnote w:id="1">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154C8">
        <w:rPr>
          <w:rFonts w:ascii="Palatino Linotype" w:hAnsi="Palatino Linotype" w:cs="Arial"/>
          <w:i/>
        </w:rPr>
        <w:t>Derechos y Garantías. La ley del más débil.</w:t>
      </w:r>
      <w:r w:rsidRPr="00F154C8">
        <w:rPr>
          <w:rFonts w:ascii="Palatino Linotype" w:hAnsi="Palatino Linotype" w:cs="Arial"/>
        </w:rPr>
        <w:t xml:space="preserve"> Séptima edición, Madrid. Editorial </w:t>
      </w:r>
      <w:proofErr w:type="spellStart"/>
      <w:r w:rsidRPr="00F154C8">
        <w:rPr>
          <w:rFonts w:ascii="Palatino Linotype" w:hAnsi="Palatino Linotype" w:cs="Arial"/>
        </w:rPr>
        <w:t>Trotta</w:t>
      </w:r>
      <w:proofErr w:type="spellEnd"/>
      <w:r w:rsidRPr="00F154C8">
        <w:rPr>
          <w:rFonts w:ascii="Palatino Linotype" w:hAnsi="Palatino Linotype" w:cs="Arial"/>
        </w:rPr>
        <w:t>, 2010. Pág. 24</w:t>
      </w:r>
    </w:p>
  </w:footnote>
  <w:footnote w:id="2">
    <w:p w:rsidR="00EC68E3" w:rsidRPr="00FA14E5" w:rsidRDefault="00EC68E3" w:rsidP="00EC68E3">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154C8">
        <w:rPr>
          <w:rFonts w:ascii="Palatino Linotype" w:hAnsi="Palatino Linotype" w:cs="Arial"/>
        </w:rPr>
        <w:t>Alexy</w:t>
      </w:r>
      <w:proofErr w:type="spellEnd"/>
      <w:r w:rsidRPr="00F154C8">
        <w:rPr>
          <w:rFonts w:ascii="Palatino Linotype" w:hAnsi="Palatino Linotype" w:cs="Arial"/>
        </w:rPr>
        <w:t xml:space="preserve">, Robert. </w:t>
      </w:r>
      <w:r w:rsidRPr="00F154C8">
        <w:rPr>
          <w:rFonts w:ascii="Palatino Linotype" w:hAnsi="Palatino Linotype" w:cs="Arial"/>
          <w:i/>
        </w:rPr>
        <w:t>Teoría de los derechos fundamentales.</w:t>
      </w:r>
      <w:r w:rsidRPr="00F154C8">
        <w:rPr>
          <w:rFonts w:ascii="Palatino Linotype" w:hAnsi="Palatino Linotype" w:cs="Arial"/>
        </w:rPr>
        <w:t xml:space="preserve"> Segunda edición, Madrid, Ed, Centro de Estudios Políticos y Constitucionales. 2014. Pág. 68.</w:t>
      </w:r>
    </w:p>
  </w:footnote>
  <w:footnote w:id="3">
    <w:p w:rsidR="00D335A6" w:rsidRDefault="00D335A6">
      <w:pPr>
        <w:pStyle w:val="Textonotapie"/>
      </w:pPr>
      <w:r>
        <w:rPr>
          <w:rStyle w:val="Refdenotaalpie"/>
        </w:rPr>
        <w:footnoteRef/>
      </w:r>
      <w:r>
        <w:t xml:space="preserve"> </w:t>
      </w:r>
      <w:hyperlink r:id="rId1" w:history="1">
        <w:r w:rsidRPr="005D287A">
          <w:rPr>
            <w:rStyle w:val="Hipervnculo"/>
          </w:rPr>
          <w:t>https://www.infoem.org.mx/src/htm/queEsArco.html</w:t>
        </w:r>
      </w:hyperlink>
    </w:p>
  </w:footnote>
  <w:footnote w:id="4">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La democracia a través de los derechos., El constitucionalismo garantista como modelo teórico y como proyecto político.</w:t>
      </w:r>
      <w:r w:rsidRPr="00F154C8">
        <w:rPr>
          <w:rFonts w:ascii="Palatino Linotype" w:hAnsi="Palatino Linotype" w:cs="Arial"/>
        </w:rPr>
        <w:t xml:space="preserve"> Madrid. Ed. </w:t>
      </w:r>
      <w:proofErr w:type="spellStart"/>
      <w:r w:rsidRPr="00F154C8">
        <w:rPr>
          <w:rFonts w:ascii="Palatino Linotype" w:hAnsi="Palatino Linotype" w:cs="Arial"/>
        </w:rPr>
        <w:t>Trotta</w:t>
      </w:r>
      <w:proofErr w:type="spellEnd"/>
      <w:r w:rsidRPr="00F154C8">
        <w:rPr>
          <w:rFonts w:ascii="Palatino Linotype" w:hAnsi="Palatino Linotype" w:cs="Arial"/>
        </w:rPr>
        <w:t>, 2014.Pág. 62.</w:t>
      </w:r>
    </w:p>
  </w:footnote>
  <w:footnote w:id="5">
    <w:p w:rsidR="00EC68E3" w:rsidRPr="00FA14E5" w:rsidRDefault="00EC68E3" w:rsidP="00EC68E3">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Poderes salvajes. La crisis de la democracia constitucional.</w:t>
      </w:r>
      <w:r w:rsidRPr="00F154C8">
        <w:rPr>
          <w:rFonts w:ascii="Palatino Linotype" w:hAnsi="Palatino Linotype" w:cs="Arial"/>
        </w:rPr>
        <w:t xml:space="preserve"> Segunda edición, Madrid. Ed. Mínima </w:t>
      </w:r>
      <w:proofErr w:type="spellStart"/>
      <w:r w:rsidRPr="00F154C8">
        <w:rPr>
          <w:rFonts w:ascii="Palatino Linotype" w:hAnsi="Palatino Linotype" w:cs="Arial"/>
        </w:rPr>
        <w:t>Trotta</w:t>
      </w:r>
      <w:proofErr w:type="spellEnd"/>
      <w:r w:rsidRPr="00F154C8">
        <w:rPr>
          <w:rFonts w:ascii="Palatino Linotype" w:hAnsi="Palatino Linotype" w:cs="Arial"/>
        </w:rPr>
        <w:t>. 2011. Pág. 40.</w:t>
      </w:r>
    </w:p>
  </w:footnote>
  <w:footnote w:id="6">
    <w:p w:rsidR="00EC68E3" w:rsidRPr="00FA14E5" w:rsidRDefault="00EC68E3" w:rsidP="00EC68E3">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Corte Interamericana de Derechos Humanos. Caso Claude Reyes y otros contra Chile. Sentencia de 19 de septiembre de 2006. </w:t>
      </w:r>
      <w:proofErr w:type="spellStart"/>
      <w:r w:rsidRPr="00F154C8">
        <w:rPr>
          <w:rFonts w:ascii="Palatino Linotype" w:hAnsi="Palatino Linotype" w:cs="Arial"/>
        </w:rPr>
        <w:t>Párrfs</w:t>
      </w:r>
      <w:proofErr w:type="spellEnd"/>
      <w:r w:rsidRPr="00F154C8">
        <w:rPr>
          <w:rFonts w:ascii="Palatino Linotype" w:hAnsi="Palatino Linotype" w:cs="Arial"/>
        </w:rPr>
        <w:t>. 116-139.</w:t>
      </w:r>
    </w:p>
  </w:footnote>
  <w:footnote w:id="7">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OPINIÓN PARTICULAR DEL COMISIONADO JOSÉ GUADALUPE LUNA HERNÁNDEZ EN EL RECURSO DE REVISIÓN 01750/INFOEM/IP/RR/2015 Y 01751/INFOEM/IP/RR/2015. Párr. 21.</w:t>
      </w:r>
    </w:p>
  </w:footnote>
  <w:footnote w:id="8">
    <w:p w:rsidR="00EC68E3" w:rsidRPr="00F154C8" w:rsidRDefault="00EC68E3" w:rsidP="00EC68E3">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w:t>
      </w:r>
      <w:proofErr w:type="spellStart"/>
      <w:r w:rsidRPr="00F154C8">
        <w:rPr>
          <w:rFonts w:ascii="Palatino Linotype" w:hAnsi="Palatino Linotype" w:cs="Arial"/>
        </w:rPr>
        <w:t>Oroza</w:t>
      </w:r>
      <w:proofErr w:type="spellEnd"/>
      <w:r w:rsidRPr="00F154C8">
        <w:rPr>
          <w:rFonts w:ascii="Palatino Linotype" w:hAnsi="Palatino Linotype" w:cs="Arial"/>
        </w:rPr>
        <w:t xml:space="preserve"> vs. Bolivia. Sentencia de 27 de febrero de 2002 (Reparaciones y Costas). Párr. 120.</w:t>
      </w:r>
    </w:p>
  </w:footnote>
  <w:footnote w:id="9">
    <w:p w:rsidR="00EC68E3" w:rsidRPr="00F154C8" w:rsidRDefault="00EC68E3" w:rsidP="00EC68E3">
      <w:pPr>
        <w:pStyle w:val="Textonotapie"/>
        <w:rPr>
          <w:rFonts w:ascii="Palatino Linotype" w:hAnsi="Palatino Linotype"/>
        </w:rPr>
      </w:pPr>
      <w:r w:rsidRPr="00F154C8">
        <w:rPr>
          <w:rStyle w:val="Refdenotaalpie"/>
          <w:rFonts w:ascii="Palatino Linotype" w:hAnsi="Palatino Linotype"/>
        </w:rPr>
        <w:footnoteRef/>
      </w:r>
      <w:r w:rsidRPr="00F154C8">
        <w:rPr>
          <w:rFonts w:ascii="Palatino Linotype" w:hAnsi="Palatino Linotype"/>
        </w:rP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663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663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D663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663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43044D"/>
    <w:multiLevelType w:val="hybridMultilevel"/>
    <w:tmpl w:val="5EAA36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6"/>
  </w:num>
  <w:num w:numId="6">
    <w:abstractNumId w:val="8"/>
  </w:num>
  <w:num w:numId="7">
    <w:abstractNumId w:val="10"/>
  </w:num>
  <w:num w:numId="8">
    <w:abstractNumId w:val="9"/>
  </w:num>
  <w:num w:numId="9">
    <w:abstractNumId w:val="12"/>
  </w:num>
  <w:num w:numId="10">
    <w:abstractNumId w:val="1"/>
  </w:num>
  <w:num w:numId="11">
    <w:abstractNumId w:val="11"/>
  </w:num>
  <w:num w:numId="12">
    <w:abstractNumId w:val="4"/>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C28"/>
    <w:rsid w:val="000527BE"/>
    <w:rsid w:val="00073F0D"/>
    <w:rsid w:val="0009096C"/>
    <w:rsid w:val="000951B4"/>
    <w:rsid w:val="000A77B5"/>
    <w:rsid w:val="000A7B66"/>
    <w:rsid w:val="000B43C9"/>
    <w:rsid w:val="000B7751"/>
    <w:rsid w:val="000D2E94"/>
    <w:rsid w:val="000F41EA"/>
    <w:rsid w:val="000F606B"/>
    <w:rsid w:val="000F6CBB"/>
    <w:rsid w:val="00105464"/>
    <w:rsid w:val="00122625"/>
    <w:rsid w:val="00131770"/>
    <w:rsid w:val="00171997"/>
    <w:rsid w:val="00184DBC"/>
    <w:rsid w:val="00195192"/>
    <w:rsid w:val="001A103E"/>
    <w:rsid w:val="001C6398"/>
    <w:rsid w:val="001D3F34"/>
    <w:rsid w:val="002036ED"/>
    <w:rsid w:val="00225026"/>
    <w:rsid w:val="00227E7B"/>
    <w:rsid w:val="002620E9"/>
    <w:rsid w:val="00265347"/>
    <w:rsid w:val="00281310"/>
    <w:rsid w:val="00283063"/>
    <w:rsid w:val="002C1F75"/>
    <w:rsid w:val="002E3C54"/>
    <w:rsid w:val="00315113"/>
    <w:rsid w:val="003253A1"/>
    <w:rsid w:val="00367E00"/>
    <w:rsid w:val="003705BB"/>
    <w:rsid w:val="003747A5"/>
    <w:rsid w:val="003A700A"/>
    <w:rsid w:val="003D7B9E"/>
    <w:rsid w:val="004427C0"/>
    <w:rsid w:val="0046491C"/>
    <w:rsid w:val="00466AD0"/>
    <w:rsid w:val="00476367"/>
    <w:rsid w:val="004A6C66"/>
    <w:rsid w:val="004B0CAB"/>
    <w:rsid w:val="004E0530"/>
    <w:rsid w:val="004E38BF"/>
    <w:rsid w:val="00523DD8"/>
    <w:rsid w:val="00557EA5"/>
    <w:rsid w:val="00582793"/>
    <w:rsid w:val="005A15EC"/>
    <w:rsid w:val="005A3267"/>
    <w:rsid w:val="00607F50"/>
    <w:rsid w:val="00634736"/>
    <w:rsid w:val="00645178"/>
    <w:rsid w:val="00655CF9"/>
    <w:rsid w:val="006728FD"/>
    <w:rsid w:val="006E3748"/>
    <w:rsid w:val="006F7525"/>
    <w:rsid w:val="00712B28"/>
    <w:rsid w:val="00717C0D"/>
    <w:rsid w:val="0072136B"/>
    <w:rsid w:val="0076493C"/>
    <w:rsid w:val="00767D46"/>
    <w:rsid w:val="00770016"/>
    <w:rsid w:val="00790E37"/>
    <w:rsid w:val="007C0205"/>
    <w:rsid w:val="007E1651"/>
    <w:rsid w:val="007E1FDC"/>
    <w:rsid w:val="00814E97"/>
    <w:rsid w:val="0083133E"/>
    <w:rsid w:val="008361CA"/>
    <w:rsid w:val="00850252"/>
    <w:rsid w:val="00856FA1"/>
    <w:rsid w:val="00880003"/>
    <w:rsid w:val="008822B3"/>
    <w:rsid w:val="008B03B6"/>
    <w:rsid w:val="008F3E81"/>
    <w:rsid w:val="00900E75"/>
    <w:rsid w:val="00902248"/>
    <w:rsid w:val="00904426"/>
    <w:rsid w:val="00937D7D"/>
    <w:rsid w:val="00975C25"/>
    <w:rsid w:val="009844AE"/>
    <w:rsid w:val="009A5A6A"/>
    <w:rsid w:val="009C04C7"/>
    <w:rsid w:val="009D0B01"/>
    <w:rsid w:val="009E3B0A"/>
    <w:rsid w:val="009F5304"/>
    <w:rsid w:val="00A63717"/>
    <w:rsid w:val="00AA1F20"/>
    <w:rsid w:val="00AA49F3"/>
    <w:rsid w:val="00AB023D"/>
    <w:rsid w:val="00AC381E"/>
    <w:rsid w:val="00B120CA"/>
    <w:rsid w:val="00B71899"/>
    <w:rsid w:val="00B74478"/>
    <w:rsid w:val="00B84DE5"/>
    <w:rsid w:val="00BC7B0C"/>
    <w:rsid w:val="00BD299A"/>
    <w:rsid w:val="00C46591"/>
    <w:rsid w:val="00C65A9A"/>
    <w:rsid w:val="00C66FAF"/>
    <w:rsid w:val="00CA5059"/>
    <w:rsid w:val="00CC2CF3"/>
    <w:rsid w:val="00CE0823"/>
    <w:rsid w:val="00CE4239"/>
    <w:rsid w:val="00CE5993"/>
    <w:rsid w:val="00CE7631"/>
    <w:rsid w:val="00CF70BA"/>
    <w:rsid w:val="00D335A6"/>
    <w:rsid w:val="00D33AF9"/>
    <w:rsid w:val="00D363F7"/>
    <w:rsid w:val="00D47AF9"/>
    <w:rsid w:val="00D66382"/>
    <w:rsid w:val="00D71594"/>
    <w:rsid w:val="00D72985"/>
    <w:rsid w:val="00D7508B"/>
    <w:rsid w:val="00D849AA"/>
    <w:rsid w:val="00DA1CC8"/>
    <w:rsid w:val="00DB084B"/>
    <w:rsid w:val="00DB58A0"/>
    <w:rsid w:val="00DF6F7E"/>
    <w:rsid w:val="00DF7230"/>
    <w:rsid w:val="00E13FD8"/>
    <w:rsid w:val="00E23FDF"/>
    <w:rsid w:val="00E31C26"/>
    <w:rsid w:val="00E61AB8"/>
    <w:rsid w:val="00E706DA"/>
    <w:rsid w:val="00E71F88"/>
    <w:rsid w:val="00E83E93"/>
    <w:rsid w:val="00E922BD"/>
    <w:rsid w:val="00E94FBF"/>
    <w:rsid w:val="00EA3894"/>
    <w:rsid w:val="00EC68E3"/>
    <w:rsid w:val="00EF0C2D"/>
    <w:rsid w:val="00F154C8"/>
    <w:rsid w:val="00F42DAD"/>
    <w:rsid w:val="00F46E78"/>
    <w:rsid w:val="00F6118B"/>
    <w:rsid w:val="00F857BC"/>
    <w:rsid w:val="00F92351"/>
    <w:rsid w:val="00FA523D"/>
    <w:rsid w:val="00FA6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paragraph" w:styleId="TDC2">
    <w:name w:val="toc 2"/>
    <w:basedOn w:val="Normal"/>
    <w:next w:val="Normal"/>
    <w:autoRedefine/>
    <w:uiPriority w:val="39"/>
    <w:unhideWhenUsed/>
    <w:rsid w:val="00557EA5"/>
    <w:pPr>
      <w:spacing w:after="100"/>
      <w:ind w:left="220"/>
    </w:pPr>
  </w:style>
  <w:style w:type="table" w:styleId="Tablaconcuadrcula">
    <w:name w:val="Table Grid"/>
    <w:basedOn w:val="Tablanormal"/>
    <w:uiPriority w:val="39"/>
    <w:rsid w:val="004A6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2712">
      <w:bodyDiv w:val="1"/>
      <w:marLeft w:val="0"/>
      <w:marRight w:val="0"/>
      <w:marTop w:val="0"/>
      <w:marBottom w:val="0"/>
      <w:divBdr>
        <w:top w:val="none" w:sz="0" w:space="0" w:color="auto"/>
        <w:left w:val="none" w:sz="0" w:space="0" w:color="auto"/>
        <w:bottom w:val="none" w:sz="0" w:space="0" w:color="auto"/>
        <w:right w:val="none" w:sz="0" w:space="0" w:color="auto"/>
      </w:divBdr>
    </w:div>
    <w:div w:id="923219809">
      <w:bodyDiv w:val="1"/>
      <w:marLeft w:val="0"/>
      <w:marRight w:val="0"/>
      <w:marTop w:val="0"/>
      <w:marBottom w:val="0"/>
      <w:divBdr>
        <w:top w:val="none" w:sz="0" w:space="0" w:color="auto"/>
        <w:left w:val="none" w:sz="0" w:space="0" w:color="auto"/>
        <w:bottom w:val="none" w:sz="0" w:space="0" w:color="auto"/>
        <w:right w:val="none" w:sz="0" w:space="0" w:color="auto"/>
      </w:divBdr>
    </w:div>
    <w:div w:id="148041591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51766776">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079355304">
      <w:bodyDiv w:val="1"/>
      <w:marLeft w:val="0"/>
      <w:marRight w:val="0"/>
      <w:marTop w:val="0"/>
      <w:marBottom w:val="0"/>
      <w:divBdr>
        <w:top w:val="none" w:sz="0" w:space="0" w:color="auto"/>
        <w:left w:val="none" w:sz="0" w:space="0" w:color="auto"/>
        <w:bottom w:val="none" w:sz="0" w:space="0" w:color="auto"/>
        <w:right w:val="none" w:sz="0" w:space="0" w:color="auto"/>
      </w:divBdr>
    </w:div>
    <w:div w:id="21157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src/htm/queEsArc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FC68-150E-4021-B889-E048C819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2591</Words>
  <Characters>14254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2019-01-22T00:44:00Z</cp:lastPrinted>
  <dcterms:created xsi:type="dcterms:W3CDTF">2019-01-25T19:45:00Z</dcterms:created>
  <dcterms:modified xsi:type="dcterms:W3CDTF">2019-01-25T20:59:00Z</dcterms:modified>
</cp:coreProperties>
</file>